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639F0">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07DEB19B">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4CBC218A">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r>
        <w:rPr>
          <w:rFonts w:hint="eastAsia" w:ascii="宋体" w:hAnsi="宋体" w:eastAsia="宋体" w:cs="宋体"/>
          <w:b/>
          <w:bCs/>
          <w:snapToGrid w:val="0"/>
          <w:color w:val="000000"/>
          <w:spacing w:val="3"/>
          <w:kern w:val="0"/>
          <w:sz w:val="52"/>
          <w:szCs w:val="52"/>
          <w:lang w:eastAsia="en-US"/>
        </w:rPr>
        <w:t>行业调研与政策建议</w:t>
      </w:r>
    </w:p>
    <w:p w14:paraId="44F87D4F">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1604507E">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365B94AD">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63B9525C">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769D394C">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57B864B9">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3777CC29">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07F4B4C4">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77463AF1">
      <w:pPr>
        <w:widowControl/>
        <w:kinsoku w:val="0"/>
        <w:autoSpaceDE w:val="0"/>
        <w:autoSpaceDN w:val="0"/>
        <w:adjustRightInd w:val="0"/>
        <w:snapToGrid w:val="0"/>
        <w:spacing w:before="169" w:beforeLines="-2147483648" w:line="220" w:lineRule="auto"/>
        <w:jc w:val="center"/>
        <w:textAlignment w:val="baseline"/>
        <w:rPr>
          <w:rFonts w:hint="eastAsia" w:ascii="宋体" w:hAnsi="宋体" w:eastAsia="宋体" w:cs="宋体"/>
          <w:b/>
          <w:bCs/>
          <w:snapToGrid w:val="0"/>
          <w:color w:val="000000"/>
          <w:spacing w:val="3"/>
          <w:kern w:val="0"/>
          <w:sz w:val="52"/>
          <w:szCs w:val="52"/>
          <w:lang w:eastAsia="en-US"/>
        </w:rPr>
      </w:pPr>
    </w:p>
    <w:p w14:paraId="701F94ED">
      <w:pPr>
        <w:spacing w:before="91" w:line="219" w:lineRule="auto"/>
        <w:jc w:val="center"/>
        <w:outlineLvl w:val="9"/>
        <w:rPr>
          <w:rFonts w:ascii="宋体" w:hAnsi="宋体" w:eastAsia="宋体" w:cs="宋体"/>
          <w:b w:val="0"/>
          <w:bCs w:val="0"/>
          <w:sz w:val="28"/>
          <w:szCs w:val="28"/>
        </w:rPr>
      </w:pPr>
      <w:r>
        <w:rPr>
          <w:rFonts w:ascii="宋体" w:hAnsi="宋体" w:eastAsia="宋体" w:cs="宋体"/>
          <w:b w:val="0"/>
          <w:bCs w:val="0"/>
          <w:spacing w:val="-3"/>
          <w:sz w:val="28"/>
          <w:szCs w:val="28"/>
        </w:rPr>
        <w:t>长春市建设监理协会发展研究委员会</w:t>
      </w:r>
    </w:p>
    <w:p w14:paraId="4DEBC6C1">
      <w:pPr>
        <w:spacing w:before="91" w:line="219" w:lineRule="auto"/>
        <w:jc w:val="center"/>
        <w:outlineLvl w:val="9"/>
        <w:rPr>
          <w:rFonts w:ascii="宋体" w:hAnsi="宋体" w:eastAsia="宋体" w:cs="宋体"/>
          <w:b w:val="0"/>
          <w:bCs w:val="0"/>
          <w:spacing w:val="-3"/>
          <w:sz w:val="28"/>
          <w:szCs w:val="28"/>
        </w:rPr>
      </w:pPr>
      <w:r>
        <w:rPr>
          <w:rFonts w:ascii="宋体" w:hAnsi="宋体" w:eastAsia="宋体" w:cs="宋体"/>
          <w:b w:val="0"/>
          <w:bCs w:val="0"/>
          <w:spacing w:val="-4"/>
          <w:sz w:val="28"/>
          <w:szCs w:val="28"/>
        </w:rPr>
        <w:t>吉林中交工程建设咨</w:t>
      </w:r>
      <w:r>
        <w:rPr>
          <w:rFonts w:ascii="宋体" w:hAnsi="宋体" w:eastAsia="宋体" w:cs="宋体"/>
          <w:b w:val="0"/>
          <w:bCs w:val="0"/>
          <w:spacing w:val="-3"/>
          <w:sz w:val="28"/>
          <w:szCs w:val="28"/>
        </w:rPr>
        <w:t>询有限公司</w:t>
      </w:r>
    </w:p>
    <w:p w14:paraId="61B6958E">
      <w:pPr>
        <w:spacing w:before="91" w:line="219" w:lineRule="auto"/>
        <w:jc w:val="center"/>
        <w:outlineLvl w:val="9"/>
        <w:rPr>
          <w:rFonts w:ascii="宋体" w:hAnsi="宋体" w:eastAsia="宋体" w:cs="宋体"/>
          <w:b w:val="0"/>
          <w:bCs w:val="0"/>
          <w:spacing w:val="-3"/>
          <w:sz w:val="28"/>
          <w:szCs w:val="28"/>
        </w:rPr>
      </w:pPr>
      <w:r>
        <w:rPr>
          <w:rFonts w:ascii="宋体" w:hAnsi="宋体" w:eastAsia="宋体" w:cs="宋体"/>
          <w:b w:val="0"/>
          <w:bCs w:val="0"/>
          <w:spacing w:val="-3"/>
          <w:sz w:val="28"/>
          <w:szCs w:val="28"/>
        </w:rPr>
        <w:t>202</w:t>
      </w:r>
      <w:r>
        <w:rPr>
          <w:rFonts w:hint="eastAsia" w:ascii="宋体" w:hAnsi="宋体" w:eastAsia="宋体" w:cs="宋体"/>
          <w:b w:val="0"/>
          <w:bCs w:val="0"/>
          <w:spacing w:val="-3"/>
          <w:sz w:val="28"/>
          <w:szCs w:val="28"/>
          <w:lang w:val="en-US" w:eastAsia="zh-CN"/>
        </w:rPr>
        <w:t>6</w:t>
      </w:r>
      <w:r>
        <w:rPr>
          <w:rFonts w:ascii="宋体" w:hAnsi="宋体" w:eastAsia="宋体" w:cs="宋体"/>
          <w:b w:val="0"/>
          <w:bCs w:val="0"/>
          <w:spacing w:val="-3"/>
          <w:sz w:val="28"/>
          <w:szCs w:val="28"/>
        </w:rPr>
        <w:t>年</w:t>
      </w:r>
      <w:r>
        <w:rPr>
          <w:rFonts w:hint="eastAsia" w:ascii="宋体" w:hAnsi="宋体" w:eastAsia="宋体" w:cs="宋体"/>
          <w:b w:val="0"/>
          <w:bCs w:val="0"/>
          <w:spacing w:val="-3"/>
          <w:sz w:val="28"/>
          <w:szCs w:val="28"/>
          <w:lang w:val="en-US" w:eastAsia="zh-CN"/>
        </w:rPr>
        <w:t>1</w:t>
      </w:r>
      <w:r>
        <w:rPr>
          <w:rFonts w:ascii="宋体" w:hAnsi="宋体" w:eastAsia="宋体" w:cs="宋体"/>
          <w:b w:val="0"/>
          <w:bCs w:val="0"/>
          <w:spacing w:val="-3"/>
          <w:sz w:val="28"/>
          <w:szCs w:val="28"/>
        </w:rPr>
        <w:t>月</w:t>
      </w:r>
    </w:p>
    <w:p w14:paraId="6539386D">
      <w:pPr>
        <w:spacing w:before="91" w:line="219" w:lineRule="auto"/>
        <w:jc w:val="center"/>
        <w:outlineLvl w:val="9"/>
        <w:rPr>
          <w:rFonts w:ascii="宋体" w:hAnsi="宋体" w:eastAsia="宋体" w:cs="宋体"/>
          <w:b w:val="0"/>
          <w:bCs w:val="0"/>
          <w:spacing w:val="-3"/>
          <w:sz w:val="28"/>
          <w:szCs w:val="28"/>
        </w:rPr>
      </w:pPr>
    </w:p>
    <w:p w14:paraId="651BACD1">
      <w:pPr>
        <w:spacing w:before="91" w:line="219" w:lineRule="auto"/>
        <w:jc w:val="center"/>
        <w:outlineLvl w:val="9"/>
        <w:rPr>
          <w:rFonts w:ascii="宋体" w:hAnsi="宋体" w:eastAsia="宋体" w:cs="宋体"/>
          <w:b w:val="0"/>
          <w:bCs w:val="0"/>
          <w:spacing w:val="-3"/>
          <w:sz w:val="28"/>
          <w:szCs w:val="28"/>
        </w:rPr>
      </w:pPr>
    </w:p>
    <w:sdt>
      <w:sdtPr>
        <w:rPr>
          <w:rFonts w:ascii="宋体" w:hAnsi="宋体" w:eastAsia="宋体" w:cs="宋体"/>
          <w:b/>
          <w:bCs/>
          <w:kern w:val="2"/>
          <w:sz w:val="28"/>
          <w:szCs w:val="28"/>
          <w:lang w:val="en-US" w:eastAsia="zh-CN" w:bidi="ar-SA"/>
        </w:rPr>
        <w:id w:val="147452398"/>
        <w15:color w:val="DBDBDB"/>
        <w:docPartObj>
          <w:docPartGallery w:val="Table of Contents"/>
          <w:docPartUnique/>
        </w:docPartObj>
      </w:sdtPr>
      <w:sdtEndPr>
        <w:rPr>
          <w:rFonts w:ascii="宋体" w:hAnsi="宋体" w:eastAsia="宋体" w:cs="宋体"/>
          <w:b/>
          <w:bCs w:val="0"/>
          <w:spacing w:val="-3"/>
          <w:kern w:val="2"/>
          <w:sz w:val="21"/>
          <w:szCs w:val="28"/>
          <w:lang w:val="en-US" w:eastAsia="zh-CN" w:bidi="ar-SA"/>
        </w:rPr>
      </w:sdtEndPr>
      <w:sdtContent>
        <w:p w14:paraId="4FEBC97F">
          <w:pPr>
            <w:spacing w:before="0" w:beforeLines="0" w:after="0" w:afterLines="0" w:line="240" w:lineRule="auto"/>
            <w:ind w:left="0" w:leftChars="0" w:right="0" w:rightChars="0" w:firstLine="0" w:firstLineChars="0"/>
            <w:jc w:val="center"/>
            <w:rPr>
              <w:rFonts w:ascii="宋体" w:hAnsi="宋体" w:eastAsia="宋体"/>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5AB68CE6">
          <w:pPr>
            <w:spacing w:before="0" w:beforeLines="0" w:after="0" w:afterLines="0" w:line="240" w:lineRule="auto"/>
            <w:ind w:left="0" w:leftChars="0" w:right="0" w:rightChars="0" w:firstLine="0" w:firstLineChars="0"/>
            <w:jc w:val="center"/>
            <w:rPr>
              <w:rFonts w:ascii="宋体" w:hAnsi="宋体" w:eastAsia="宋体"/>
              <w:b/>
              <w:bCs/>
              <w:sz w:val="36"/>
              <w:szCs w:val="36"/>
            </w:rPr>
          </w:pPr>
        </w:p>
        <w:p w14:paraId="7947A38B">
          <w:pPr>
            <w:pStyle w:val="8"/>
            <w:tabs>
              <w:tab w:val="right" w:leader="dot" w:pos="8306"/>
            </w:tabs>
            <w:rPr>
              <w:sz w:val="32"/>
              <w:szCs w:val="32"/>
              <w:vertAlign w:val="baseline"/>
            </w:rPr>
          </w:pPr>
          <w:r>
            <w:rPr>
              <w:rFonts w:ascii="宋体" w:hAnsi="宋体" w:eastAsia="宋体" w:cs="宋体"/>
              <w:b w:val="0"/>
              <w:bCs w:val="0"/>
              <w:spacing w:val="-3"/>
              <w:sz w:val="28"/>
              <w:szCs w:val="28"/>
            </w:rPr>
            <w:fldChar w:fldCharType="begin"/>
          </w:r>
          <w:r>
            <w:rPr>
              <w:rFonts w:ascii="宋体" w:hAnsi="宋体" w:eastAsia="宋体" w:cs="宋体"/>
              <w:b w:val="0"/>
              <w:bCs w:val="0"/>
              <w:spacing w:val="-3"/>
              <w:sz w:val="28"/>
              <w:szCs w:val="28"/>
            </w:rPr>
            <w:instrText xml:space="preserve">TOC \o "1-3" \h \u </w:instrText>
          </w:r>
          <w:r>
            <w:rPr>
              <w:rFonts w:ascii="宋体" w:hAnsi="宋体" w:eastAsia="宋体" w:cs="宋体"/>
              <w:b w:val="0"/>
              <w:bCs w:val="0"/>
              <w:spacing w:val="-3"/>
              <w:sz w:val="28"/>
              <w:szCs w:val="28"/>
            </w:rPr>
            <w:fldChar w:fldCharType="separate"/>
          </w:r>
          <w:r>
            <w:rPr>
              <w:rFonts w:ascii="宋体" w:hAnsi="宋体" w:eastAsia="宋体" w:cs="宋体"/>
              <w:bCs w:val="0"/>
              <w:spacing w:val="-3"/>
              <w:sz w:val="32"/>
              <w:szCs w:val="44"/>
              <w:vertAlign w:val="baseline"/>
            </w:rPr>
            <w:fldChar w:fldCharType="begin"/>
          </w:r>
          <w:r>
            <w:rPr>
              <w:rFonts w:ascii="宋体" w:hAnsi="宋体" w:eastAsia="宋体" w:cs="宋体"/>
              <w:bCs w:val="0"/>
              <w:spacing w:val="-3"/>
              <w:sz w:val="32"/>
              <w:szCs w:val="44"/>
              <w:vertAlign w:val="baseline"/>
            </w:rPr>
            <w:instrText xml:space="preserve"> HYPERLINK \l _Toc2167 </w:instrText>
          </w:r>
          <w:r>
            <w:rPr>
              <w:rFonts w:ascii="宋体" w:hAnsi="宋体" w:eastAsia="宋体" w:cs="宋体"/>
              <w:bCs w:val="0"/>
              <w:spacing w:val="-3"/>
              <w:sz w:val="32"/>
              <w:szCs w:val="44"/>
              <w:vertAlign w:val="baseline"/>
            </w:rPr>
            <w:fldChar w:fldCharType="separate"/>
          </w:r>
          <w:r>
            <w:rPr>
              <w:rFonts w:hint="eastAsia"/>
              <w:sz w:val="32"/>
              <w:szCs w:val="22"/>
              <w:vertAlign w:val="baseline"/>
              <w:lang w:val="en-US" w:eastAsia="en-US"/>
            </w:rPr>
            <w:t>第</w:t>
          </w:r>
          <w:r>
            <w:rPr>
              <w:rFonts w:hint="eastAsia"/>
              <w:sz w:val="32"/>
              <w:szCs w:val="22"/>
              <w:vertAlign w:val="baseline"/>
              <w:lang w:val="en-US" w:eastAsia="zh-CN"/>
            </w:rPr>
            <w:t>一</w:t>
          </w:r>
          <w:r>
            <w:rPr>
              <w:rFonts w:hint="eastAsia"/>
              <w:sz w:val="32"/>
              <w:szCs w:val="22"/>
              <w:vertAlign w:val="baseline"/>
              <w:lang w:val="en-US" w:eastAsia="en-US"/>
            </w:rPr>
            <w:t>章：</w:t>
          </w:r>
          <w:r>
            <w:rPr>
              <w:rFonts w:hint="eastAsia"/>
              <w:sz w:val="32"/>
              <w:szCs w:val="22"/>
              <w:vertAlign w:val="baseline"/>
              <w:lang w:val="en-US" w:eastAsia="zh-CN"/>
            </w:rPr>
            <w:t>监理</w:t>
          </w:r>
          <w:r>
            <w:rPr>
              <w:rFonts w:hint="eastAsia"/>
              <w:sz w:val="32"/>
              <w:szCs w:val="22"/>
              <w:vertAlign w:val="baseline"/>
              <w:lang w:val="en-US" w:eastAsia="en-US"/>
            </w:rPr>
            <w:t>行业调研</w:t>
          </w:r>
          <w:r>
            <w:rPr>
              <w:sz w:val="32"/>
              <w:szCs w:val="32"/>
              <w:vertAlign w:val="baseline"/>
            </w:rPr>
            <w:tab/>
          </w:r>
          <w:r>
            <w:rPr>
              <w:sz w:val="32"/>
              <w:szCs w:val="32"/>
              <w:vertAlign w:val="baseline"/>
            </w:rPr>
            <w:fldChar w:fldCharType="begin"/>
          </w:r>
          <w:r>
            <w:rPr>
              <w:sz w:val="32"/>
              <w:szCs w:val="32"/>
              <w:vertAlign w:val="baseline"/>
            </w:rPr>
            <w:instrText xml:space="preserve"> PAGEREF _Toc2167 \h </w:instrText>
          </w:r>
          <w:r>
            <w:rPr>
              <w:sz w:val="32"/>
              <w:szCs w:val="32"/>
              <w:vertAlign w:val="baseline"/>
            </w:rPr>
            <w:fldChar w:fldCharType="separate"/>
          </w:r>
          <w:r>
            <w:rPr>
              <w:sz w:val="32"/>
              <w:szCs w:val="32"/>
              <w:vertAlign w:val="baseline"/>
            </w:rPr>
            <w:t>1</w:t>
          </w:r>
          <w:r>
            <w:rPr>
              <w:sz w:val="32"/>
              <w:szCs w:val="32"/>
              <w:vertAlign w:val="baseline"/>
            </w:rPr>
            <w:fldChar w:fldCharType="end"/>
          </w:r>
          <w:r>
            <w:rPr>
              <w:rFonts w:ascii="宋体" w:hAnsi="宋体" w:eastAsia="宋体" w:cs="宋体"/>
              <w:bCs w:val="0"/>
              <w:spacing w:val="-3"/>
              <w:sz w:val="32"/>
              <w:szCs w:val="44"/>
              <w:vertAlign w:val="baseline"/>
            </w:rPr>
            <w:fldChar w:fldCharType="end"/>
          </w:r>
        </w:p>
        <w:p w14:paraId="3B0BC869">
          <w:pPr>
            <w:pStyle w:val="8"/>
            <w:tabs>
              <w:tab w:val="right" w:leader="dot" w:pos="8306"/>
            </w:tabs>
            <w:rPr>
              <w:sz w:val="32"/>
              <w:szCs w:val="32"/>
              <w:vertAlign w:val="baseline"/>
            </w:rPr>
          </w:pPr>
          <w:r>
            <w:rPr>
              <w:rFonts w:ascii="宋体" w:hAnsi="宋体" w:eastAsia="宋体" w:cs="宋体"/>
              <w:bCs w:val="0"/>
              <w:spacing w:val="-3"/>
              <w:sz w:val="32"/>
              <w:szCs w:val="44"/>
              <w:vertAlign w:val="baseline"/>
            </w:rPr>
            <w:fldChar w:fldCharType="begin"/>
          </w:r>
          <w:r>
            <w:rPr>
              <w:rFonts w:ascii="宋体" w:hAnsi="宋体" w:eastAsia="宋体" w:cs="宋体"/>
              <w:bCs w:val="0"/>
              <w:spacing w:val="-3"/>
              <w:sz w:val="32"/>
              <w:szCs w:val="44"/>
              <w:vertAlign w:val="baseline"/>
            </w:rPr>
            <w:instrText xml:space="preserve"> HYPERLINK \l _Toc6426 </w:instrText>
          </w:r>
          <w:r>
            <w:rPr>
              <w:rFonts w:ascii="宋体" w:hAnsi="宋体" w:eastAsia="宋体" w:cs="宋体"/>
              <w:bCs w:val="0"/>
              <w:spacing w:val="-3"/>
              <w:sz w:val="32"/>
              <w:szCs w:val="44"/>
              <w:vertAlign w:val="baseline"/>
            </w:rPr>
            <w:fldChar w:fldCharType="separate"/>
          </w:r>
          <w:r>
            <w:rPr>
              <w:rFonts w:hint="eastAsia"/>
              <w:sz w:val="32"/>
              <w:szCs w:val="22"/>
              <w:vertAlign w:val="baseline"/>
              <w:lang w:val="en-US" w:eastAsia="en-US"/>
            </w:rPr>
            <w:t>第</w:t>
          </w:r>
          <w:r>
            <w:rPr>
              <w:rFonts w:hint="eastAsia"/>
              <w:sz w:val="32"/>
              <w:szCs w:val="22"/>
              <w:vertAlign w:val="baseline"/>
              <w:lang w:val="en-US" w:eastAsia="zh-CN"/>
            </w:rPr>
            <w:t>二</w:t>
          </w:r>
          <w:r>
            <w:rPr>
              <w:rFonts w:hint="eastAsia"/>
              <w:sz w:val="32"/>
              <w:szCs w:val="22"/>
              <w:vertAlign w:val="baseline"/>
              <w:lang w:val="en-US" w:eastAsia="en-US"/>
            </w:rPr>
            <w:t>章：</w:t>
          </w:r>
          <w:r>
            <w:rPr>
              <w:rFonts w:hint="eastAsia"/>
              <w:sz w:val="32"/>
              <w:szCs w:val="22"/>
              <w:vertAlign w:val="baseline"/>
              <w:lang w:val="en-US" w:eastAsia="zh-CN"/>
            </w:rPr>
            <w:t>长春市监理行业深度调研</w:t>
          </w:r>
          <w:r>
            <w:rPr>
              <w:sz w:val="32"/>
              <w:szCs w:val="32"/>
              <w:vertAlign w:val="baseline"/>
            </w:rPr>
            <w:tab/>
          </w:r>
          <w:r>
            <w:rPr>
              <w:sz w:val="32"/>
              <w:szCs w:val="32"/>
              <w:vertAlign w:val="baseline"/>
            </w:rPr>
            <w:fldChar w:fldCharType="begin"/>
          </w:r>
          <w:r>
            <w:rPr>
              <w:sz w:val="32"/>
              <w:szCs w:val="32"/>
              <w:vertAlign w:val="baseline"/>
            </w:rPr>
            <w:instrText xml:space="preserve"> PAGEREF _Toc6426 \h </w:instrText>
          </w:r>
          <w:r>
            <w:rPr>
              <w:sz w:val="32"/>
              <w:szCs w:val="32"/>
              <w:vertAlign w:val="baseline"/>
            </w:rPr>
            <w:fldChar w:fldCharType="separate"/>
          </w:r>
          <w:r>
            <w:rPr>
              <w:sz w:val="32"/>
              <w:szCs w:val="32"/>
              <w:vertAlign w:val="baseline"/>
            </w:rPr>
            <w:t>4</w:t>
          </w:r>
          <w:r>
            <w:rPr>
              <w:sz w:val="32"/>
              <w:szCs w:val="32"/>
              <w:vertAlign w:val="baseline"/>
            </w:rPr>
            <w:fldChar w:fldCharType="end"/>
          </w:r>
          <w:r>
            <w:rPr>
              <w:rFonts w:ascii="宋体" w:hAnsi="宋体" w:eastAsia="宋体" w:cs="宋体"/>
              <w:bCs w:val="0"/>
              <w:spacing w:val="-3"/>
              <w:sz w:val="32"/>
              <w:szCs w:val="44"/>
              <w:vertAlign w:val="baseline"/>
            </w:rPr>
            <w:fldChar w:fldCharType="end"/>
          </w:r>
        </w:p>
        <w:p w14:paraId="6126BE8B">
          <w:pPr>
            <w:pStyle w:val="8"/>
            <w:tabs>
              <w:tab w:val="right" w:leader="dot" w:pos="8306"/>
            </w:tabs>
            <w:rPr>
              <w:sz w:val="32"/>
              <w:szCs w:val="32"/>
              <w:vertAlign w:val="baseline"/>
            </w:rPr>
          </w:pPr>
          <w:r>
            <w:rPr>
              <w:rFonts w:ascii="宋体" w:hAnsi="宋体" w:eastAsia="宋体" w:cs="宋体"/>
              <w:bCs w:val="0"/>
              <w:spacing w:val="-3"/>
              <w:sz w:val="32"/>
              <w:szCs w:val="44"/>
              <w:vertAlign w:val="baseline"/>
            </w:rPr>
            <w:fldChar w:fldCharType="begin"/>
          </w:r>
          <w:r>
            <w:rPr>
              <w:rFonts w:ascii="宋体" w:hAnsi="宋体" w:eastAsia="宋体" w:cs="宋体"/>
              <w:bCs w:val="0"/>
              <w:spacing w:val="-3"/>
              <w:sz w:val="32"/>
              <w:szCs w:val="44"/>
              <w:vertAlign w:val="baseline"/>
            </w:rPr>
            <w:instrText xml:space="preserve"> HYPERLINK \l _Toc29781 </w:instrText>
          </w:r>
          <w:r>
            <w:rPr>
              <w:rFonts w:ascii="宋体" w:hAnsi="宋体" w:eastAsia="宋体" w:cs="宋体"/>
              <w:bCs w:val="0"/>
              <w:spacing w:val="-3"/>
              <w:sz w:val="32"/>
              <w:szCs w:val="44"/>
              <w:vertAlign w:val="baseline"/>
            </w:rPr>
            <w:fldChar w:fldCharType="separate"/>
          </w:r>
          <w:r>
            <w:rPr>
              <w:rFonts w:hint="eastAsia"/>
              <w:sz w:val="32"/>
              <w:szCs w:val="22"/>
              <w:vertAlign w:val="baseline"/>
              <w:lang w:val="en-US" w:eastAsia="en-US"/>
            </w:rPr>
            <w:t>第</w:t>
          </w:r>
          <w:r>
            <w:rPr>
              <w:rFonts w:hint="eastAsia"/>
              <w:sz w:val="32"/>
              <w:szCs w:val="22"/>
              <w:vertAlign w:val="baseline"/>
              <w:lang w:val="en-US" w:eastAsia="zh-CN"/>
            </w:rPr>
            <w:t>三</w:t>
          </w:r>
          <w:r>
            <w:rPr>
              <w:rFonts w:hint="eastAsia"/>
              <w:sz w:val="32"/>
              <w:szCs w:val="22"/>
              <w:vertAlign w:val="baseline"/>
              <w:lang w:val="en-US" w:eastAsia="en-US"/>
            </w:rPr>
            <w:t>章：</w:t>
          </w:r>
          <w:r>
            <w:rPr>
              <w:bCs/>
              <w:spacing w:val="6"/>
              <w:sz w:val="32"/>
              <w:szCs w:val="48"/>
              <w:vertAlign w:val="baseline"/>
            </w:rPr>
            <w:t>赴济南市监理协会</w:t>
          </w:r>
          <w:r>
            <w:rPr>
              <w:bCs/>
              <w:spacing w:val="5"/>
              <w:sz w:val="32"/>
              <w:szCs w:val="48"/>
              <w:vertAlign w:val="baseline"/>
            </w:rPr>
            <w:t>学习行业发展经验</w:t>
          </w:r>
          <w:r>
            <w:rPr>
              <w:sz w:val="32"/>
              <w:szCs w:val="32"/>
              <w:vertAlign w:val="baseline"/>
            </w:rPr>
            <w:tab/>
          </w:r>
          <w:r>
            <w:rPr>
              <w:sz w:val="32"/>
              <w:szCs w:val="32"/>
              <w:vertAlign w:val="baseline"/>
            </w:rPr>
            <w:fldChar w:fldCharType="begin"/>
          </w:r>
          <w:r>
            <w:rPr>
              <w:sz w:val="32"/>
              <w:szCs w:val="32"/>
              <w:vertAlign w:val="baseline"/>
            </w:rPr>
            <w:instrText xml:space="preserve"> PAGEREF _Toc29781 \h </w:instrText>
          </w:r>
          <w:r>
            <w:rPr>
              <w:sz w:val="32"/>
              <w:szCs w:val="32"/>
              <w:vertAlign w:val="baseline"/>
            </w:rPr>
            <w:fldChar w:fldCharType="separate"/>
          </w:r>
          <w:r>
            <w:rPr>
              <w:sz w:val="32"/>
              <w:szCs w:val="32"/>
              <w:vertAlign w:val="baseline"/>
            </w:rPr>
            <w:t>8</w:t>
          </w:r>
          <w:r>
            <w:rPr>
              <w:sz w:val="32"/>
              <w:szCs w:val="32"/>
              <w:vertAlign w:val="baseline"/>
            </w:rPr>
            <w:fldChar w:fldCharType="end"/>
          </w:r>
          <w:r>
            <w:rPr>
              <w:rFonts w:ascii="宋体" w:hAnsi="宋体" w:eastAsia="宋体" w:cs="宋体"/>
              <w:bCs w:val="0"/>
              <w:spacing w:val="-3"/>
              <w:sz w:val="32"/>
              <w:szCs w:val="44"/>
              <w:vertAlign w:val="baseline"/>
            </w:rPr>
            <w:fldChar w:fldCharType="end"/>
          </w:r>
        </w:p>
        <w:p w14:paraId="597DD3C0">
          <w:pPr>
            <w:pStyle w:val="8"/>
            <w:tabs>
              <w:tab w:val="right" w:leader="dot" w:pos="8306"/>
            </w:tabs>
          </w:pPr>
          <w:r>
            <w:rPr>
              <w:rFonts w:ascii="宋体" w:hAnsi="宋体" w:eastAsia="宋体" w:cs="宋体"/>
              <w:bCs w:val="0"/>
              <w:spacing w:val="-3"/>
              <w:sz w:val="32"/>
              <w:szCs w:val="44"/>
              <w:vertAlign w:val="baseline"/>
            </w:rPr>
            <w:fldChar w:fldCharType="begin"/>
          </w:r>
          <w:r>
            <w:rPr>
              <w:rFonts w:ascii="宋体" w:hAnsi="宋体" w:eastAsia="宋体" w:cs="宋体"/>
              <w:bCs w:val="0"/>
              <w:spacing w:val="-3"/>
              <w:sz w:val="32"/>
              <w:szCs w:val="44"/>
              <w:vertAlign w:val="baseline"/>
            </w:rPr>
            <w:instrText xml:space="preserve"> HYPERLINK \l _Toc16383 </w:instrText>
          </w:r>
          <w:r>
            <w:rPr>
              <w:rFonts w:ascii="宋体" w:hAnsi="宋体" w:eastAsia="宋体" w:cs="宋体"/>
              <w:bCs w:val="0"/>
              <w:spacing w:val="-3"/>
              <w:sz w:val="32"/>
              <w:szCs w:val="44"/>
              <w:vertAlign w:val="baseline"/>
            </w:rPr>
            <w:fldChar w:fldCharType="separate"/>
          </w:r>
          <w:r>
            <w:rPr>
              <w:rFonts w:hint="eastAsia"/>
              <w:sz w:val="32"/>
              <w:szCs w:val="22"/>
              <w:vertAlign w:val="baseline"/>
              <w:lang w:val="en-US" w:eastAsia="en-US"/>
            </w:rPr>
            <w:t>第</w:t>
          </w:r>
          <w:r>
            <w:rPr>
              <w:rFonts w:hint="eastAsia"/>
              <w:sz w:val="32"/>
              <w:szCs w:val="22"/>
              <w:vertAlign w:val="baseline"/>
              <w:lang w:val="en-US" w:eastAsia="zh-CN"/>
            </w:rPr>
            <w:t>四</w:t>
          </w:r>
          <w:r>
            <w:rPr>
              <w:rFonts w:hint="eastAsia"/>
              <w:sz w:val="32"/>
              <w:szCs w:val="22"/>
              <w:vertAlign w:val="baseline"/>
              <w:lang w:val="en-US" w:eastAsia="en-US"/>
            </w:rPr>
            <w:t>章：</w:t>
          </w:r>
          <w:r>
            <w:rPr>
              <w:rFonts w:hint="eastAsia" w:eastAsia="宋体"/>
              <w:sz w:val="32"/>
              <w:szCs w:val="22"/>
              <w:vertAlign w:val="baseline"/>
              <w:lang w:val="en-US" w:eastAsia="zh-CN"/>
            </w:rPr>
            <w:t>行业政策建议</w:t>
          </w:r>
          <w:r>
            <w:rPr>
              <w:sz w:val="32"/>
              <w:szCs w:val="32"/>
              <w:vertAlign w:val="baseline"/>
            </w:rPr>
            <w:tab/>
          </w:r>
          <w:r>
            <w:rPr>
              <w:sz w:val="32"/>
              <w:szCs w:val="32"/>
              <w:vertAlign w:val="baseline"/>
            </w:rPr>
            <w:fldChar w:fldCharType="begin"/>
          </w:r>
          <w:r>
            <w:rPr>
              <w:sz w:val="32"/>
              <w:szCs w:val="32"/>
              <w:vertAlign w:val="baseline"/>
            </w:rPr>
            <w:instrText xml:space="preserve"> PAGEREF _Toc16383 \h </w:instrText>
          </w:r>
          <w:r>
            <w:rPr>
              <w:sz w:val="32"/>
              <w:szCs w:val="32"/>
              <w:vertAlign w:val="baseline"/>
            </w:rPr>
            <w:fldChar w:fldCharType="separate"/>
          </w:r>
          <w:r>
            <w:rPr>
              <w:sz w:val="32"/>
              <w:szCs w:val="32"/>
              <w:vertAlign w:val="baseline"/>
            </w:rPr>
            <w:t>12</w:t>
          </w:r>
          <w:r>
            <w:rPr>
              <w:sz w:val="32"/>
              <w:szCs w:val="32"/>
              <w:vertAlign w:val="baseline"/>
            </w:rPr>
            <w:fldChar w:fldCharType="end"/>
          </w:r>
          <w:r>
            <w:rPr>
              <w:rFonts w:ascii="宋体" w:hAnsi="宋体" w:eastAsia="宋体" w:cs="宋体"/>
              <w:bCs w:val="0"/>
              <w:spacing w:val="-3"/>
              <w:sz w:val="32"/>
              <w:szCs w:val="44"/>
              <w:vertAlign w:val="baseline"/>
            </w:rPr>
            <w:fldChar w:fldCharType="end"/>
          </w:r>
        </w:p>
        <w:p w14:paraId="668B8CA3">
          <w:pPr>
            <w:pStyle w:val="9"/>
            <w:tabs>
              <w:tab w:val="right" w:leader="dot" w:pos="8306"/>
            </w:tabs>
          </w:pPr>
        </w:p>
        <w:p w14:paraId="74CE3291">
          <w:pPr>
            <w:spacing w:before="91" w:line="219" w:lineRule="auto"/>
            <w:jc w:val="center"/>
            <w:outlineLvl w:val="9"/>
            <w:rPr>
              <w:rFonts w:ascii="宋体" w:hAnsi="宋体" w:eastAsia="宋体" w:cs="宋体"/>
              <w:bCs w:val="0"/>
              <w:spacing w:val="-3"/>
              <w:kern w:val="2"/>
              <w:sz w:val="21"/>
              <w:szCs w:val="28"/>
              <w:lang w:val="en-US" w:eastAsia="zh-CN" w:bidi="ar-SA"/>
            </w:rPr>
            <w:sectPr>
              <w:pgSz w:w="11906" w:h="16838"/>
              <w:pgMar w:top="1440" w:right="1800" w:bottom="1440" w:left="1800" w:header="851" w:footer="992" w:gutter="0"/>
              <w:cols w:space="425" w:num="1"/>
              <w:docGrid w:type="lines" w:linePitch="312" w:charSpace="0"/>
            </w:sectPr>
          </w:pPr>
          <w:r>
            <w:rPr>
              <w:rFonts w:ascii="宋体" w:hAnsi="宋体" w:eastAsia="宋体" w:cs="宋体"/>
              <w:bCs w:val="0"/>
              <w:spacing w:val="-3"/>
              <w:szCs w:val="28"/>
            </w:rPr>
            <w:fldChar w:fldCharType="end"/>
          </w:r>
        </w:p>
      </w:sdtContent>
    </w:sdt>
    <w:p w14:paraId="08F53A38">
      <w:pPr>
        <w:pStyle w:val="2"/>
        <w:bidi w:val="0"/>
        <w:jc w:val="center"/>
        <w:rPr>
          <w:rFonts w:hint="eastAsia"/>
          <w:b/>
          <w:sz w:val="32"/>
          <w:szCs w:val="16"/>
          <w:lang w:val="en-US" w:eastAsia="en-US"/>
        </w:rPr>
      </w:pPr>
      <w:bookmarkStart w:id="0" w:name="_Toc2167"/>
      <w:r>
        <w:rPr>
          <w:rFonts w:hint="eastAsia"/>
          <w:b/>
          <w:sz w:val="32"/>
          <w:szCs w:val="16"/>
          <w:lang w:val="en-US" w:eastAsia="en-US"/>
        </w:rPr>
        <w:t>第</w:t>
      </w:r>
      <w:r>
        <w:rPr>
          <w:rFonts w:hint="eastAsia"/>
          <w:b/>
          <w:sz w:val="32"/>
          <w:szCs w:val="16"/>
          <w:lang w:val="en-US" w:eastAsia="zh-CN"/>
        </w:rPr>
        <w:t>一</w:t>
      </w:r>
      <w:r>
        <w:rPr>
          <w:rFonts w:hint="eastAsia"/>
          <w:b/>
          <w:sz w:val="32"/>
          <w:szCs w:val="16"/>
          <w:lang w:val="en-US" w:eastAsia="en-US"/>
        </w:rPr>
        <w:t>章：</w:t>
      </w:r>
      <w:r>
        <w:rPr>
          <w:rFonts w:hint="eastAsia"/>
          <w:b/>
          <w:sz w:val="32"/>
          <w:szCs w:val="16"/>
          <w:lang w:val="en-US" w:eastAsia="zh-CN"/>
        </w:rPr>
        <w:t>监理</w:t>
      </w:r>
      <w:r>
        <w:rPr>
          <w:rFonts w:hint="eastAsia"/>
          <w:b/>
          <w:sz w:val="32"/>
          <w:szCs w:val="16"/>
          <w:lang w:val="en-US" w:eastAsia="en-US"/>
        </w:rPr>
        <w:t>行业调研</w:t>
      </w:r>
      <w:bookmarkEnd w:id="0"/>
    </w:p>
    <w:p w14:paraId="4E8AD79D">
      <w:pPr>
        <w:spacing w:before="91" w:line="219" w:lineRule="auto"/>
        <w:ind w:firstLine="548" w:firstLineChars="200"/>
        <w:jc w:val="both"/>
        <w:outlineLvl w:val="9"/>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2025年，吉林省共有341个具有建设工程监理资质的企业，同比增长19.6%。2025年，吉林省具有建设工程监理资质的企业年末从业人员18057人，同比增长10.2%。</w:t>
      </w:r>
    </w:p>
    <w:p w14:paraId="067EC0EE">
      <w:pPr>
        <w:spacing w:before="91" w:line="219" w:lineRule="auto"/>
        <w:ind w:firstLine="548" w:firstLineChars="200"/>
        <w:jc w:val="both"/>
        <w:outlineLvl w:val="9"/>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随着建筑行业的不断发展，工程监理企业在保障工程质量和安全方面扮演着越来越重要的角色。通过对吉林省工程监理企业的数据分析，揭示该地区工程监理行业的现状、挑战及未来发展趋势。</w:t>
      </w:r>
    </w:p>
    <w:p w14:paraId="2F418423">
      <w:pPr>
        <w:spacing w:before="91" w:line="219" w:lineRule="auto"/>
        <w:ind w:firstLine="548" w:firstLineChars="200"/>
        <w:jc w:val="both"/>
        <w:outlineLvl w:val="9"/>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首先，从企业数量来看，近年来工程监理企业数量呈现稳步增长趋势。根据相关数据，2023年，长春市工程监理企业共计184户，其中评级为A级的有35户、B级142户、D级7户；2024年，参与统计的长春市工程监理企业共计219户，其中A级34户、B级109户、C级18户、D级58户；2025年的统计数据工作预计于2026年年中开始。经数据对比，企业数量同比增长19.02%，A级企业数量基本持平，B级企业同比下降23%，C级与D级企业均大幅增加。这一增长趋势表明，随着建筑市场的扩大和政府对工程质量监管的加强，工程监理行业的需求在不断增加。</w:t>
      </w:r>
    </w:p>
    <w:p w14:paraId="2AD6301A">
      <w:pPr>
        <w:spacing w:before="91" w:line="219" w:lineRule="auto"/>
        <w:ind w:firstLine="548" w:firstLineChars="200"/>
        <w:jc w:val="both"/>
        <w:outlineLvl w:val="9"/>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其次，从企业规模来看，长春市工程监理企业以中小型企业为主。其中，员工人数在50人以下的企业占比约为70%，100人以上的企业仅占15%左右。这一数据表明，尽管工程监理企业数量众多，但大多数企业仍处于发展初期，规模较小，抗风险能力较弱。这些企业面临主营业务非监理、市场份额有限、建筑市场萎靡等多重挑战，致使经营状况不佳。</w:t>
      </w:r>
    </w:p>
    <w:p w14:paraId="0C9A98E2">
      <w:pPr>
        <w:spacing w:before="91" w:line="219" w:lineRule="auto"/>
        <w:ind w:firstLine="548" w:firstLineChars="200"/>
        <w:jc w:val="both"/>
        <w:outlineLvl w:val="9"/>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再次，从业务范围来看，长春市工程监理企业主要服务于房屋建筑、市政工程和交通工程等领域。其中，房屋建筑工程监理业务占比最高，约为60%，市政工程和交通工程分别占比25%和15%。这一数据反映出，房屋建筑仍然是长春市建筑市场的主体，而市政工程和交通工程的发展潜力也不容忽视。</w:t>
      </w:r>
    </w:p>
    <w:p w14:paraId="752577CB">
      <w:pPr>
        <w:spacing w:before="91" w:line="219" w:lineRule="auto"/>
        <w:ind w:firstLine="548" w:firstLineChars="200"/>
        <w:jc w:val="both"/>
        <w:outlineLvl w:val="9"/>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此外，从营业收入来看，长春市工程监理企业的营业收入普遍不高。2024年，长春市工程监理企业的平均营业收入约为500万元，其中营业收入超过1000万元的企业仅占20%左右。这一数据表明，工程监理行业的盈利能力仍有待提高。</w:t>
      </w:r>
    </w:p>
    <w:p w14:paraId="1B970CB6">
      <w:pPr>
        <w:spacing w:before="91" w:line="219" w:lineRule="auto"/>
        <w:ind w:firstLine="548" w:firstLineChars="200"/>
        <w:jc w:val="both"/>
        <w:outlineLvl w:val="9"/>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最后，从市场竞争来看，长春市工程监理市场竞争激烈。由于工程监理企业数量众多，且业务范围相对集中，因此市场竞争较为激烈。</w:t>
      </w:r>
    </w:p>
    <w:p w14:paraId="7485973D">
      <w:pPr>
        <w:spacing w:before="91" w:line="219" w:lineRule="auto"/>
        <w:ind w:firstLine="548" w:firstLineChars="200"/>
        <w:jc w:val="both"/>
        <w:outlineLvl w:val="9"/>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综上所述，长春市工程监理行业在近年来取得了快速发展，但仍然面临着企业规模较小、盈利能力较弱、市场竞争激烈等问题。未来，随着建筑市场的不断发展和政府对工程质量监管的进一步加强，工程监理行业有望迎来更好的发展机遇。同时，工程监理企业也需要加强自身建设，提高服务质量，增强市场竞争力，以实现可持续发展。</w:t>
      </w:r>
    </w:p>
    <w:p w14:paraId="75A38403">
      <w:pPr>
        <w:rPr>
          <w:rFonts w:hint="eastAsia"/>
          <w:lang w:eastAsia="zh-CN"/>
        </w:rPr>
      </w:pPr>
    </w:p>
    <w:p w14:paraId="70B0F7CB">
      <w:pPr>
        <w:spacing w:before="91" w:line="219" w:lineRule="auto"/>
        <w:ind w:firstLine="548" w:firstLineChars="200"/>
        <w:jc w:val="both"/>
        <w:outlineLvl w:val="9"/>
        <w:rPr>
          <w:rFonts w:hint="eastAsia" w:ascii="宋体" w:hAnsi="宋体" w:eastAsia="宋体" w:cs="宋体"/>
          <w:b w:val="0"/>
          <w:bCs w:val="0"/>
          <w:spacing w:val="-3"/>
          <w:sz w:val="28"/>
          <w:szCs w:val="28"/>
          <w:lang w:eastAsia="zh-CN"/>
        </w:rPr>
      </w:pPr>
      <w:r>
        <w:rPr>
          <w:rFonts w:hint="eastAsia" w:ascii="宋体" w:hAnsi="宋体" w:eastAsia="宋体" w:cs="宋体"/>
          <w:b w:val="0"/>
          <w:bCs w:val="0"/>
          <w:spacing w:val="-3"/>
          <w:sz w:val="28"/>
          <w:szCs w:val="28"/>
          <w:lang w:eastAsia="zh-CN"/>
        </w:rPr>
        <w:t>长春市监理行业目前呈现出典型的“三多三少”结构性矛盾特征：一是传统住宅监理业务占比多，新兴领域服务能力少。据本次调研统计，本地监理企业中82%的营收来源于传统住宅项目，而新基建、城市更新、工业厂房等新兴领域业务占比不足18%；具备跨专业（如通信工程+土建）监理资质的企业仅13家，不足行业总数的7%，多数企业缺乏BIM技术深度应用、绿色建造监理等核心能力，难以满足新兴项目的技术需求。二是中小规模机构多，头部领军企业少。长春现有监理企业</w:t>
      </w:r>
      <w:r>
        <w:rPr>
          <w:rFonts w:hint="eastAsia" w:ascii="宋体" w:hAnsi="宋体" w:eastAsia="宋体" w:cs="宋体"/>
          <w:b w:val="0"/>
          <w:bCs w:val="0"/>
          <w:spacing w:val="-3"/>
          <w:sz w:val="28"/>
          <w:szCs w:val="28"/>
          <w:lang w:val="en-US" w:eastAsia="zh-CN"/>
        </w:rPr>
        <w:t>219</w:t>
      </w:r>
      <w:r>
        <w:rPr>
          <w:rFonts w:hint="eastAsia" w:ascii="宋体" w:hAnsi="宋体" w:eastAsia="宋体" w:cs="宋体"/>
          <w:b w:val="0"/>
          <w:bCs w:val="0"/>
          <w:spacing w:val="-3"/>
          <w:sz w:val="28"/>
          <w:szCs w:val="28"/>
          <w:lang w:eastAsia="zh-CN"/>
        </w:rPr>
        <w:t>家，其中员工规模50人以下的中小机构占比达73%</w:t>
      </w:r>
      <w:bookmarkStart w:id="51" w:name="_GoBack"/>
      <w:bookmarkEnd w:id="51"/>
      <w:r>
        <w:rPr>
          <w:rFonts w:hint="eastAsia" w:ascii="宋体" w:hAnsi="宋体" w:eastAsia="宋体" w:cs="宋体"/>
          <w:b w:val="0"/>
          <w:bCs w:val="0"/>
          <w:spacing w:val="-3"/>
          <w:sz w:val="28"/>
          <w:szCs w:val="28"/>
          <w:lang w:eastAsia="zh-CN"/>
        </w:rPr>
        <w:t>，且尚无具备全国影响力的全过程工程咨询服务商；中小机构普遍存在技术团队薄弱、资金投入不足等问题，在大型政府投资项目（如轨道交通、城市更新片区开发）中多以分包商角色参与，核心竞争力缺失。三是低端基础服务多，高端价值服务少。传统旁站监督、工序验收等基础服务占企业服务内容的67%，而能提供全生命周期咨询、数字孪生监理、风险评估等高端增值服务的企业不足20%；调研显示，本地企业在政府投资项目中提供高端服务的中标率仅为外地企业的1/3，多数企业仍依赖“薄利多销”的低端竞争模式，平均利润率较行业先进水平低4-6个百分点。这些结构性矛盾制约了长春监理行业的整体升级，也难以匹配“十五五”期间城市高质量发展对监理服务的需求。</w:t>
      </w:r>
    </w:p>
    <w:p w14:paraId="3097C1BD">
      <w:pPr>
        <w:pStyle w:val="2"/>
        <w:bidi w:val="0"/>
        <w:jc w:val="center"/>
        <w:rPr>
          <w:rFonts w:hint="default" w:eastAsiaTheme="minorEastAsia"/>
          <w:b/>
          <w:sz w:val="32"/>
          <w:szCs w:val="16"/>
          <w:lang w:val="en-US" w:eastAsia="zh-CN"/>
        </w:rPr>
      </w:pPr>
      <w:bookmarkStart w:id="1" w:name="_Toc6426"/>
      <w:r>
        <w:rPr>
          <w:rFonts w:hint="eastAsia"/>
          <w:b/>
          <w:sz w:val="32"/>
          <w:szCs w:val="16"/>
          <w:lang w:val="en-US" w:eastAsia="en-US"/>
        </w:rPr>
        <w:t>第</w:t>
      </w:r>
      <w:r>
        <w:rPr>
          <w:rFonts w:hint="eastAsia"/>
          <w:b/>
          <w:sz w:val="32"/>
          <w:szCs w:val="16"/>
          <w:lang w:val="en-US" w:eastAsia="zh-CN"/>
        </w:rPr>
        <w:t>二</w:t>
      </w:r>
      <w:r>
        <w:rPr>
          <w:rFonts w:hint="eastAsia"/>
          <w:b/>
          <w:sz w:val="32"/>
          <w:szCs w:val="16"/>
          <w:lang w:val="en-US" w:eastAsia="en-US"/>
        </w:rPr>
        <w:t>章：</w:t>
      </w:r>
      <w:r>
        <w:rPr>
          <w:rFonts w:hint="eastAsia"/>
          <w:b/>
          <w:sz w:val="32"/>
          <w:szCs w:val="16"/>
          <w:lang w:val="en-US" w:eastAsia="zh-CN"/>
        </w:rPr>
        <w:t>长春市监理行业深度调研</w:t>
      </w:r>
      <w:bookmarkEnd w:id="1"/>
    </w:p>
    <w:p w14:paraId="01AF4394">
      <w:pPr>
        <w:pStyle w:val="2"/>
        <w:bidi w:val="0"/>
        <w:spacing w:before="0" w:after="0" w:line="240" w:lineRule="auto"/>
        <w:ind w:firstLine="548" w:firstLineChars="200"/>
        <w:jc w:val="left"/>
        <w:rPr>
          <w:rFonts w:hint="eastAsia" w:ascii="宋体" w:hAnsi="宋体" w:eastAsia="宋体" w:cs="宋体"/>
          <w:b w:val="0"/>
          <w:bCs w:val="0"/>
          <w:sz w:val="30"/>
          <w:szCs w:val="30"/>
          <w:lang w:val="en-US" w:eastAsia="zh-CN"/>
        </w:rPr>
      </w:pPr>
      <w:bookmarkStart w:id="2" w:name="_Toc6590"/>
      <w:r>
        <w:rPr>
          <w:rFonts w:hint="eastAsia" w:ascii="宋体" w:hAnsi="宋体" w:eastAsia="宋体" w:cs="宋体"/>
          <w:b w:val="0"/>
          <w:bCs w:val="0"/>
          <w:spacing w:val="-3"/>
          <w:kern w:val="2"/>
          <w:sz w:val="28"/>
          <w:szCs w:val="28"/>
          <w:lang w:val="en-US" w:eastAsia="zh-CN" w:bidi="ar-SA"/>
        </w:rPr>
        <w:t>为深入贯彻落实协会 2025 年工作计划及 7 月 25 日副会长会议精神，精准把握长春市监理行业发展现状，破解行业发展热点、难点问题，促进行业交流协作与高质量发展，长春市建设监理协会（以下简称 “协会”）于 2025 年 9 月至 12 月期间，先后赴吉林省天泰建筑工程项目管理有限公司、长春国电建设管理有限公司、吉林通信工程建设监理有限公司、吉林东北亚国际工程技术集团有限公司、吉林省新时代建设管理有限公司 5 家会员单位开展实地调研。通过听取企业介绍、开展座谈交流、观摩项目成果等形式，全面了解企业经营管理、技术创新、人才建设等实际情况，系统收集行业发展诉求与意见建议。</w:t>
      </w:r>
      <w:bookmarkEnd w:id="2"/>
    </w:p>
    <w:p w14:paraId="37F3EE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（一）吉林省天泰建筑工程项目管理有限公司</w:t>
      </w:r>
    </w:p>
    <w:p w14:paraId="1B5BCA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作为全过程工程咨询领域的标杆企业，天泰公司以“一主双线”发展战略为核心，在业务拓展与专业能力建设上成果显著：</w:t>
      </w:r>
    </w:p>
    <w:p w14:paraId="07A190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经营业绩突出：重点展示南溪智融项目、九台区小南河综合治理项目、牡丹江中心长春基地迁建项目、长春市居民用户老化设施更新改造项目等代表性成果，项目覆盖“前期服务-投资管控-竣工验收”全流程，一次验收合格率100%，展现出卓越的全过程工程咨询能力；</w:t>
      </w:r>
    </w:p>
    <w:p w14:paraId="50F48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2、专业能力扎实：在项目管理中注重“精准化投资管控”与“精细化服务”，从前期方案优化到过程风险规避，形成标准化服务体系，为同类企业提供可借鉴的全过程咨询实践经验；</w:t>
      </w:r>
    </w:p>
    <w:p w14:paraId="133247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3、行业贡献显著：积极探索智慧监理技术在建筑工程中的应用，在数字化管控、质量追溯等方面积累初步经验，为行业转型提供实践参考。</w:t>
      </w:r>
    </w:p>
    <w:p w14:paraId="2FDEF4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（二）长春国电建设管理有限公司</w:t>
      </w:r>
    </w:p>
    <w:p w14:paraId="7F4601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国电公司聚焦电力工程监理主业，在企业规范化管理与人才建设上特色鲜明：</w:t>
      </w:r>
    </w:p>
    <w:p w14:paraId="18C0181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1、经营发展稳健：系统汇报企业发展历程、资质情况、企业文化及各业务板块业绩，经营规模稳步增长，在省内电力工程监理领域市场认可度高；</w:t>
      </w:r>
    </w:p>
    <w:p w14:paraId="0D80F6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2、人才建设创新：构建“培养-管理-激励”一体化人才体系，通过内部培训、外部合作、实践锻炼等方式提升专业技术人才能力，尤其在电力工程监理专项人才培养上形成独特经验；</w:t>
      </w:r>
    </w:p>
    <w:p w14:paraId="0EF084C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3、转型意愿积极：面对行业发展新趋势，主动探索“电力监理+新能源服务”融合路径，计划拓展风电、光伏等新能源项目监理业务，展现出较强的市场适应能力。</w:t>
      </w:r>
    </w:p>
    <w:p w14:paraId="778576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（三）吉林通信工程建设监理有限公司</w:t>
      </w:r>
    </w:p>
    <w:p w14:paraId="653F67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作为通信与新能源监理领域的先行者，通信公司在技术创新与业务转型上成果突出：</w:t>
      </w:r>
    </w:p>
    <w:p w14:paraId="661A2C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1、业务双轮驱动：聚焦通信工程监理主业，同步拓展新能源工程监理领域，近3年营业收入年均增长（具体数据待补充），业务覆盖吉林省全域，重点参与5G基站建设、光纤宽带改造、风电光伏项目监理；</w:t>
      </w:r>
    </w:p>
    <w:p w14:paraId="501C29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技术应用领先：积极推广BIM技术与智慧监理系统，在通信基站建设中通过BIM可视化建模优化施工方案，项目工期平均缩短（具体天数待补充）；自主研发“通信工程智慧监理系统”，实现“实时监控、在线整改、全程留痕”，解决传统监理效率低、追溯难问题；</w:t>
      </w:r>
    </w:p>
    <w:p w14:paraId="027E64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3、转型成效显著：从“单一监理”向“全过程咨询”转型，新能源业务收入占比显著提升（具体占比待补充），抗风险能力与市场竞争力持续增强。</w:t>
      </w:r>
    </w:p>
    <w:p w14:paraId="4FFBBA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（四）吉林东北亚国际工程技术集团有限公司</w:t>
      </w:r>
    </w:p>
    <w:p w14:paraId="5B287D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东北亚公司以“工程质量管控”为核心，在经营管理创新与人才培养上亮点突出：</w:t>
      </w:r>
    </w:p>
    <w:p w14:paraId="3126E7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1、管理模式创新：探索“精细化项目管控”模式，建立覆盖项目全周期的质量监督体系，在提升项目质量、降低履约风险上成效显著；</w:t>
      </w:r>
    </w:p>
    <w:p w14:paraId="6767B0D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2、人才培养务实：注重专业技术人才实操能力培养，通过“项目导师制”“案例复盘会”等方式，加速新员工岗位适应，打造了一支业务扎实的监理人才队伍；</w:t>
      </w:r>
    </w:p>
    <w:p w14:paraId="58AD4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3、行业协作积极：主动参与协会组织的行业交流活动，积极分享质量管控经验，为行业规范发展贡献力量。</w:t>
      </w:r>
    </w:p>
    <w:p w14:paraId="2B4B2B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（五）吉林省新时代建设管理有限公司</w:t>
      </w:r>
    </w:p>
    <w:p w14:paraId="0AAB92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新时代公司作为省内新能源建设领域的标杆企业，在智能建造与数字化管理上引领行业：</w:t>
      </w:r>
    </w:p>
    <w:p w14:paraId="0D866D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1、新能源领域深耕：专注风电、光伏等新能源工程监理，在项目规划、施工管控、安全管理等方面形成标准化流程，项目质量与安全水平行业领先；</w:t>
      </w:r>
    </w:p>
    <w:p w14:paraId="472882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2、数字化管理标杆：深度应用智能建造技术，搭建数字化监理平台，实现项目数据实时采集、分析与共享，在进度管控、安全预警等方面效率提升显著；</w:t>
      </w:r>
    </w:p>
    <w:p w14:paraId="584BD4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lang w:val="en-US" w:eastAsia="zh-CN"/>
        </w:rPr>
      </w:pPr>
      <w:r>
        <w:rPr>
          <w:rFonts w:hint="eastAsia" w:ascii="宋体" w:hAnsi="宋体" w:eastAsia="宋体" w:cs="宋体"/>
          <w:b w:val="0"/>
          <w:bCs w:val="0"/>
          <w:sz w:val="28"/>
          <w:szCs w:val="28"/>
          <w:lang w:val="en-US" w:eastAsia="zh-CN"/>
        </w:rPr>
        <w:t>3、安全管理扎实：建立“全员安全责任制”，结合AI识别技术试点“智能安全监理”，有效降低施工现场违规行为发生率，为行业安全管理提供示范。</w:t>
      </w:r>
    </w:p>
    <w:p w14:paraId="6AB164C1">
      <w:pPr>
        <w:rPr>
          <w:rFonts w:hint="eastAsia"/>
          <w:b/>
          <w:sz w:val="32"/>
          <w:szCs w:val="16"/>
          <w:lang w:val="en-US" w:eastAsia="en-US"/>
        </w:rPr>
      </w:pPr>
      <w:r>
        <w:rPr>
          <w:rFonts w:hint="eastAsia"/>
          <w:b/>
          <w:sz w:val="32"/>
          <w:szCs w:val="16"/>
          <w:lang w:val="en-US" w:eastAsia="en-US"/>
        </w:rPr>
        <w:br w:type="page"/>
      </w:r>
    </w:p>
    <w:p w14:paraId="52A9F725">
      <w:pPr>
        <w:pStyle w:val="5"/>
        <w:spacing w:before="139" w:line="224" w:lineRule="auto"/>
        <w:ind w:left="749"/>
        <w:outlineLvl w:val="0"/>
        <w:rPr>
          <w:b/>
          <w:bCs/>
          <w:spacing w:val="5"/>
          <w:sz w:val="35"/>
          <w:szCs w:val="35"/>
        </w:rPr>
      </w:pPr>
      <w:bookmarkStart w:id="3" w:name="_Toc29781"/>
      <w:r>
        <w:rPr>
          <w:rFonts w:hint="eastAsia"/>
          <w:b/>
          <w:sz w:val="32"/>
          <w:szCs w:val="16"/>
          <w:lang w:val="en-US" w:eastAsia="en-US"/>
        </w:rPr>
        <w:t>第</w:t>
      </w:r>
      <w:r>
        <w:rPr>
          <w:rFonts w:hint="eastAsia"/>
          <w:b/>
          <w:sz w:val="32"/>
          <w:szCs w:val="16"/>
          <w:lang w:val="en-US" w:eastAsia="zh-CN"/>
        </w:rPr>
        <w:t>三</w:t>
      </w:r>
      <w:r>
        <w:rPr>
          <w:rFonts w:hint="eastAsia"/>
          <w:b/>
          <w:sz w:val="32"/>
          <w:szCs w:val="16"/>
          <w:lang w:val="en-US" w:eastAsia="en-US"/>
        </w:rPr>
        <w:t>章：</w:t>
      </w:r>
      <w:r>
        <w:rPr>
          <w:b/>
          <w:bCs/>
          <w:spacing w:val="6"/>
          <w:sz w:val="35"/>
          <w:szCs w:val="35"/>
        </w:rPr>
        <w:t>赴济南市监理协会</w:t>
      </w:r>
      <w:r>
        <w:rPr>
          <w:b/>
          <w:bCs/>
          <w:spacing w:val="5"/>
          <w:sz w:val="35"/>
          <w:szCs w:val="35"/>
        </w:rPr>
        <w:t>学习行业发展经验</w:t>
      </w:r>
      <w:bookmarkEnd w:id="3"/>
    </w:p>
    <w:p w14:paraId="290746BF">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4" w:name="_Toc12921"/>
      <w:r>
        <w:rPr>
          <w:rFonts w:hint="eastAsia" w:ascii="宋体" w:hAnsi="宋体" w:eastAsia="宋体" w:cs="宋体"/>
          <w:b w:val="0"/>
          <w:bCs w:val="0"/>
          <w:kern w:val="2"/>
          <w:sz w:val="28"/>
          <w:szCs w:val="28"/>
          <w:lang w:val="en-US" w:eastAsia="zh-CN" w:bidi="ar-SA"/>
        </w:rPr>
        <w:t>为破解长春市监理行业发展瓶颈，学习国内先进地区行业治理与创新实践经验，长春市建设监理协会（以下简称“我协会 ”）于 2025年 11 月 27 日组织 7 人考察组，赴山东省建设监理与咨询协会（以下简称“ 山东协会 ”）、济南市建设监理协会（以下简称“济南协会 ”）开展专题学习交流。本次调研聚焦行业制度建设、数字化转型、全过程咨询推进、人才培养等核心议题，通过座谈交流、经验分享等形式，全面梳理济南监理行业发展的先进模式与实践成果，为长春市监理行业高质量发展提供参考路径。</w:t>
      </w:r>
      <w:bookmarkEnd w:id="4"/>
    </w:p>
    <w:p w14:paraId="77B2A289">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5" w:name="_Toc9216"/>
      <w:r>
        <w:rPr>
          <w:rFonts w:hint="eastAsia" w:ascii="宋体" w:hAnsi="宋体" w:eastAsia="宋体" w:cs="宋体"/>
          <w:b w:val="0"/>
          <w:bCs w:val="0"/>
          <w:kern w:val="2"/>
          <w:sz w:val="28"/>
          <w:szCs w:val="28"/>
          <w:lang w:val="en-US" w:eastAsia="zh-CN" w:bidi="ar-SA"/>
        </w:rPr>
        <w:t>（一）行业规模与结构：资质梯队完善，业务多元拓展</w:t>
      </w:r>
      <w:bookmarkEnd w:id="5"/>
    </w:p>
    <w:p w14:paraId="072C6A73">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6" w:name="_Toc19075"/>
      <w:r>
        <w:rPr>
          <w:rFonts w:hint="eastAsia" w:ascii="宋体" w:hAnsi="宋体" w:eastAsia="宋体" w:cs="宋体"/>
          <w:b w:val="0"/>
          <w:bCs w:val="0"/>
          <w:kern w:val="2"/>
          <w:sz w:val="28"/>
          <w:szCs w:val="28"/>
          <w:lang w:val="en-US" w:eastAsia="zh-CN" w:bidi="ar-SA"/>
        </w:rPr>
        <w:t>根据山东省建设监理与咨询协会数据，截至 2024 年，山东省经审核备案的监理企业达 1249 家（同比增长 12.6%），其中综合资质企业 30 家、甲级资质企业 512 家、乙级资质企业 702 家，资质梯队分布均衡；行业从业人员 11.2 万人，注册监理工程师2.7 万人，专业人才储备充足。</w:t>
      </w:r>
      <w:bookmarkEnd w:id="6"/>
    </w:p>
    <w:p w14:paraId="0E34F215">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7" w:name="_Toc10470"/>
      <w:r>
        <w:rPr>
          <w:rFonts w:hint="eastAsia" w:ascii="宋体" w:hAnsi="宋体" w:eastAsia="宋体" w:cs="宋体"/>
          <w:b w:val="0"/>
          <w:bCs w:val="0"/>
          <w:kern w:val="2"/>
          <w:sz w:val="28"/>
          <w:szCs w:val="28"/>
          <w:lang w:val="en-US" w:eastAsia="zh-CN" w:bidi="ar-SA"/>
        </w:rPr>
        <w:t>从业务营收看，山东省工程监理合同额达 103.62 亿元，监理业务收入 92 亿元；全过程工程咨询合同额21.59 亿元，全过程咨询服务收入 7.98 亿元，“传统监理+新型咨询 ”双轨发展格局已初步形成。其中，济南市作为核心城市，属地管理监理企业约 330 家（协会会员企业 220 家），会员覆盖率超 66%，且拥有 8 家综合资质企业、130家甲级资质企业，为行业高质量发展提供坚实支撑。</w:t>
      </w:r>
      <w:bookmarkEnd w:id="7"/>
    </w:p>
    <w:p w14:paraId="58C8623B">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8" w:name="_Toc3691"/>
      <w:r>
        <w:rPr>
          <w:rFonts w:hint="eastAsia" w:ascii="宋体" w:hAnsi="宋体" w:eastAsia="宋体" w:cs="宋体"/>
          <w:b w:val="0"/>
          <w:bCs w:val="0"/>
          <w:kern w:val="2"/>
          <w:sz w:val="28"/>
          <w:szCs w:val="28"/>
          <w:lang w:val="en-US" w:eastAsia="zh-CN" w:bidi="ar-SA"/>
        </w:rPr>
        <w:t>（二）协会治理：党建引领+标准化，服务效能突出</w:t>
      </w:r>
      <w:bookmarkEnd w:id="8"/>
    </w:p>
    <w:p w14:paraId="6BC75C72">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9" w:name="_Toc14463"/>
      <w:r>
        <w:rPr>
          <w:rFonts w:hint="eastAsia" w:ascii="宋体" w:hAnsi="宋体" w:eastAsia="宋体" w:cs="宋体"/>
          <w:b w:val="0"/>
          <w:bCs w:val="0"/>
          <w:kern w:val="2"/>
          <w:sz w:val="28"/>
          <w:szCs w:val="28"/>
          <w:lang w:val="en-US" w:eastAsia="zh-CN" w:bidi="ar-SA"/>
        </w:rPr>
        <w:t>济南协会以“服务政府、服务行业、服务会员 ”为核心，构建了“党建引领+标准化运营 ”的治理模式，其关键举措包括：</w:t>
      </w:r>
      <w:bookmarkEnd w:id="9"/>
    </w:p>
    <w:p w14:paraId="4F574054">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0" w:name="_Toc21580"/>
      <w:r>
        <w:rPr>
          <w:rFonts w:hint="eastAsia" w:ascii="宋体" w:hAnsi="宋体" w:eastAsia="宋体" w:cs="宋体"/>
          <w:b w:val="0"/>
          <w:bCs w:val="0"/>
          <w:kern w:val="2"/>
          <w:sz w:val="28"/>
          <w:szCs w:val="28"/>
          <w:lang w:val="en-US" w:eastAsia="zh-CN" w:bidi="ar-SA"/>
        </w:rPr>
        <w:t>组织架构健全：济南协会设立党组（2023 年成立，核心成员21人），统筹党建与业务融合；下设专家委员会、秘书处等部门，同时在北京设立专项服务部门，拓展服务半径；会员单位覆盖房建、市政、轨道交通等多个领域，行业凝聚力强。</w:t>
      </w:r>
      <w:bookmarkEnd w:id="10"/>
    </w:p>
    <w:p w14:paraId="1ED3316B">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1" w:name="_Toc29940"/>
      <w:r>
        <w:rPr>
          <w:rFonts w:hint="eastAsia" w:ascii="宋体" w:hAnsi="宋体" w:eastAsia="宋体" w:cs="宋体"/>
          <w:b w:val="0"/>
          <w:bCs w:val="0"/>
          <w:kern w:val="2"/>
          <w:sz w:val="28"/>
          <w:szCs w:val="28"/>
          <w:lang w:val="en-US" w:eastAsia="zh-CN" w:bidi="ar-SA"/>
        </w:rPr>
        <w:t>资金保障坚实：协会设立超 50 亿元规模账户及 3 亿元专项备用资金，为行业活动、培训、数字化研发等提供稳定资金支持，避免因资金短缺导致服务中断。</w:t>
      </w:r>
      <w:bookmarkEnd w:id="11"/>
    </w:p>
    <w:p w14:paraId="145B4702">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2" w:name="_Toc12349"/>
      <w:r>
        <w:rPr>
          <w:rFonts w:hint="eastAsia" w:ascii="宋体" w:hAnsi="宋体" w:eastAsia="宋体" w:cs="宋体"/>
          <w:b w:val="0"/>
          <w:bCs w:val="0"/>
          <w:kern w:val="2"/>
          <w:sz w:val="28"/>
          <w:szCs w:val="28"/>
          <w:lang w:val="en-US" w:eastAsia="zh-CN" w:bidi="ar-SA"/>
        </w:rPr>
        <w:t>制度体系完善：制定涵盖党建工作、 日常运营、业务开展的 24项内部制度，同时牵头编制《建设工程监理工作规程》《监理文件资料管理规程》等地方标准，形成“ 国家规范+地方细则 ”的双重保障体系，确保监理工作标准化、规范化。</w:t>
      </w:r>
      <w:bookmarkEnd w:id="12"/>
    </w:p>
    <w:p w14:paraId="4C86FA3A">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3" w:name="_Toc31312"/>
      <w:r>
        <w:rPr>
          <w:rFonts w:hint="eastAsia" w:ascii="宋体" w:hAnsi="宋体" w:eastAsia="宋体" w:cs="宋体"/>
          <w:b w:val="0"/>
          <w:bCs w:val="0"/>
          <w:kern w:val="2"/>
          <w:sz w:val="28"/>
          <w:szCs w:val="28"/>
          <w:lang w:val="en-US" w:eastAsia="zh-CN" w:bidi="ar-SA"/>
        </w:rPr>
        <w:t>行业自律严格：发布《行业自律投诉举报处理办法》，严厉整治恶意低价竞标、违规经营等行为； 自 2020 年起，每年开展监理人员最低工资收入调研，发布年度薪酬指引，保障从业人员合法权益；创新“星级评价机制 ”替代传统评优，通过内部公示、会员征求意见等环节，确保评价公平公正。</w:t>
      </w:r>
      <w:bookmarkEnd w:id="13"/>
    </w:p>
    <w:p w14:paraId="475F9768">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4" w:name="_Toc27971"/>
      <w:r>
        <w:rPr>
          <w:rFonts w:hint="eastAsia" w:ascii="宋体" w:hAnsi="宋体" w:eastAsia="宋体" w:cs="宋体"/>
          <w:b w:val="0"/>
          <w:bCs w:val="0"/>
          <w:kern w:val="2"/>
          <w:sz w:val="28"/>
          <w:szCs w:val="28"/>
          <w:lang w:val="en-US" w:eastAsia="zh-CN" w:bidi="ar-SA"/>
        </w:rPr>
        <w:t>（三）数字化转型：标准引领+信用挂钩，破解转型难题</w:t>
      </w:r>
      <w:bookmarkEnd w:id="14"/>
    </w:p>
    <w:p w14:paraId="0A046A21">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5" w:name="_Toc4633"/>
      <w:r>
        <w:rPr>
          <w:rFonts w:hint="eastAsia" w:ascii="宋体" w:hAnsi="宋体" w:eastAsia="宋体" w:cs="宋体"/>
          <w:b w:val="0"/>
          <w:bCs w:val="0"/>
          <w:kern w:val="2"/>
          <w:sz w:val="28"/>
          <w:szCs w:val="28"/>
          <w:lang w:val="en-US" w:eastAsia="zh-CN" w:bidi="ar-SA"/>
        </w:rPr>
        <w:t>济南监理行业在数字化转型中形成“标准先行、信用激励、政企协同 ”的特色路径，其核心成果包括：</w:t>
      </w:r>
      <w:bookmarkEnd w:id="15"/>
    </w:p>
    <w:p w14:paraId="46E970AB">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6" w:name="_Toc5879"/>
      <w:r>
        <w:rPr>
          <w:rFonts w:hint="eastAsia" w:ascii="宋体" w:hAnsi="宋体" w:eastAsia="宋体" w:cs="宋体"/>
          <w:b w:val="0"/>
          <w:bCs w:val="0"/>
          <w:kern w:val="2"/>
          <w:sz w:val="28"/>
          <w:szCs w:val="28"/>
          <w:lang w:val="en-US" w:eastAsia="zh-CN" w:bidi="ar-SA"/>
        </w:rPr>
        <w:t>制定专属数字化标准：由山东建院工程监理咨询有限公司牵头，历时半年调研编制《监理行业数字化标准》，明确人员管理、质量控制、安全监理、信息管理等核心模块的应用底线，支持企业 “ 自主搭建系统 ”或“依托现有工具增设模块 ”，降低中小企业转型门槛（市政工程可参照执行，房屋建筑工程强制适配）。</w:t>
      </w:r>
      <w:bookmarkEnd w:id="16"/>
    </w:p>
    <w:p w14:paraId="3679F2A4">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7" w:name="_Toc10480"/>
      <w:r>
        <w:rPr>
          <w:rFonts w:hint="eastAsia" w:ascii="宋体" w:hAnsi="宋体" w:eastAsia="宋体" w:cs="宋体"/>
          <w:b w:val="0"/>
          <w:bCs w:val="0"/>
          <w:kern w:val="2"/>
          <w:sz w:val="28"/>
          <w:szCs w:val="28"/>
          <w:lang w:val="en-US" w:eastAsia="zh-CN" w:bidi="ar-SA"/>
        </w:rPr>
        <w:t>建立科学评价体系：数字化标准总分 120 分，按评分结果划分等级，评价结果直接纳入山东省建设信用评价体系，获评企业可获得信用加分，激发企业转型积极性；目前已启动试点参评，后续将在济南市住建系统全面推广。</w:t>
      </w:r>
      <w:bookmarkEnd w:id="17"/>
    </w:p>
    <w:p w14:paraId="1EEC0706">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8" w:name="_Toc24892"/>
      <w:r>
        <w:rPr>
          <w:rFonts w:hint="eastAsia" w:ascii="宋体" w:hAnsi="宋体" w:eastAsia="宋体" w:cs="宋体"/>
          <w:b w:val="0"/>
          <w:bCs w:val="0"/>
          <w:kern w:val="2"/>
          <w:sz w:val="28"/>
          <w:szCs w:val="28"/>
          <w:lang w:val="en-US" w:eastAsia="zh-CN" w:bidi="ar-SA"/>
        </w:rPr>
        <w:t>技术应用务实高效：联合企业研发施工现场监理巡检机器人（入选省级工程质量安全重点改革事项），在行业大会展示应用；2024年筛选 7 家优质数字化供应商，组织直播推介活动（5000 余人次观看），推动数字化工具普及；部分头部企业实现“数据采集-分析-应用 ”全闭环，监理人员工作效率提升 30%以上，数据追溯便捷性显著增强。</w:t>
      </w:r>
      <w:bookmarkEnd w:id="18"/>
    </w:p>
    <w:p w14:paraId="45466AA6">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19" w:name="_Toc15844"/>
      <w:r>
        <w:rPr>
          <w:rFonts w:hint="eastAsia" w:ascii="宋体" w:hAnsi="宋体" w:eastAsia="宋体" w:cs="宋体"/>
          <w:b w:val="0"/>
          <w:bCs w:val="0"/>
          <w:kern w:val="2"/>
          <w:sz w:val="28"/>
          <w:szCs w:val="28"/>
          <w:lang w:val="en-US" w:eastAsia="zh-CN" w:bidi="ar-SA"/>
        </w:rPr>
        <w:t>（四）全过程咨询推进：问题导向+试点突破，探索转型路径</w:t>
      </w:r>
      <w:bookmarkEnd w:id="19"/>
    </w:p>
    <w:p w14:paraId="2E745382">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20" w:name="_Toc26293"/>
      <w:r>
        <w:rPr>
          <w:rFonts w:hint="eastAsia" w:ascii="宋体" w:hAnsi="宋体" w:eastAsia="宋体" w:cs="宋体"/>
          <w:b w:val="0"/>
          <w:bCs w:val="0"/>
          <w:kern w:val="2"/>
          <w:sz w:val="28"/>
          <w:szCs w:val="28"/>
          <w:lang w:val="en-US" w:eastAsia="zh-CN" w:bidi="ar-SA"/>
        </w:rPr>
        <w:t>针对全过程工程咨询拓展中的痛点，济南协会采取“政企协同、试点先行 ”的策略，具体措施包括：</w:t>
      </w:r>
      <w:bookmarkEnd w:id="20"/>
    </w:p>
    <w:p w14:paraId="168CD898">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21" w:name="_Toc408"/>
      <w:r>
        <w:rPr>
          <w:rFonts w:hint="eastAsia" w:ascii="宋体" w:hAnsi="宋体" w:eastAsia="宋体" w:cs="宋体"/>
          <w:b w:val="0"/>
          <w:bCs w:val="0"/>
          <w:kern w:val="2"/>
          <w:sz w:val="28"/>
          <w:szCs w:val="28"/>
          <w:lang w:val="en-US" w:eastAsia="zh-CN" w:bidi="ar-SA"/>
        </w:rPr>
        <w:t>1、强化认知普及：通过“监理大讲堂 ”（每年 1-2 场，覆盖技术负责人、总监理工程师等群体）、外出考察（如2024 年 10 月组织专家赴厦门参加智能建造会议）等形式，解读全过程咨询核心内涵，破除“传统监理+简单咨询 ”的认知误区。</w:t>
      </w:r>
      <w:bookmarkEnd w:id="21"/>
    </w:p>
    <w:p w14:paraId="4FB421F1">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22" w:name="_Toc15325"/>
      <w:r>
        <w:rPr>
          <w:rFonts w:hint="eastAsia" w:ascii="宋体" w:hAnsi="宋体" w:eastAsia="宋体" w:cs="宋体"/>
          <w:b w:val="0"/>
          <w:bCs w:val="0"/>
          <w:kern w:val="2"/>
          <w:sz w:val="28"/>
          <w:szCs w:val="28"/>
          <w:lang w:val="en-US" w:eastAsia="zh-CN" w:bidi="ar-SA"/>
        </w:rPr>
        <w:t>2、推动政策落地：协助济南市住建局制定全过程咨询项目承接指引，联合主管部门在政府投资项目中试点“打包招标 ”，为企业提供实践机会；同时推动监理费监管账户建设，明确建设单位配合义务，解决企业“垫资监理 ”“费用拖欠 ”问题（部分项目应收账款周期从1-2 年缩短至 3 个月内）。</w:t>
      </w:r>
      <w:bookmarkEnd w:id="22"/>
    </w:p>
    <w:p w14:paraId="6EE05CBA">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23" w:name="_Toc19315"/>
      <w:r>
        <w:rPr>
          <w:rFonts w:hint="eastAsia" w:ascii="宋体" w:hAnsi="宋体" w:eastAsia="宋体" w:cs="宋体"/>
          <w:b w:val="0"/>
          <w:bCs w:val="0"/>
          <w:kern w:val="2"/>
          <w:sz w:val="28"/>
          <w:szCs w:val="28"/>
          <w:lang w:val="en-US" w:eastAsia="zh-CN" w:bidi="ar-SA"/>
        </w:rPr>
        <w:t>3、补齐人才短板：联合山东建筑大学等高校，开设全过程咨询专项培训，内容涵盖造价咨询、法律风控、运营维护等领域；推动“校企合作 ”，设立工程管理与监理大学生知识竞赛，储备复合型人才。</w:t>
      </w:r>
      <w:bookmarkEnd w:id="23"/>
    </w:p>
    <w:p w14:paraId="647F3A7C">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24" w:name="_Toc1007"/>
      <w:r>
        <w:rPr>
          <w:rFonts w:hint="eastAsia" w:ascii="宋体" w:hAnsi="宋体" w:eastAsia="宋体" w:cs="宋体"/>
          <w:b w:val="0"/>
          <w:bCs w:val="0"/>
          <w:kern w:val="2"/>
          <w:sz w:val="28"/>
          <w:szCs w:val="28"/>
          <w:lang w:val="en-US" w:eastAsia="zh-CN" w:bidi="ar-SA"/>
        </w:rPr>
        <w:t>（五）人才培养：线上线下融合，构建梯队体系</w:t>
      </w:r>
      <w:bookmarkEnd w:id="24"/>
    </w:p>
    <w:p w14:paraId="596053B0">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25" w:name="_Toc32111"/>
      <w:r>
        <w:rPr>
          <w:rFonts w:hint="eastAsia" w:ascii="宋体" w:hAnsi="宋体" w:eastAsia="宋体" w:cs="宋体"/>
          <w:b w:val="0"/>
          <w:bCs w:val="0"/>
          <w:kern w:val="2"/>
          <w:sz w:val="28"/>
          <w:szCs w:val="28"/>
          <w:lang w:val="en-US" w:eastAsia="zh-CN" w:bidi="ar-SA"/>
        </w:rPr>
        <w:t>济南协会构建“线上常态化培训+线下专项实操 ”的人才培养模式，关键举措包括：</w:t>
      </w:r>
      <w:bookmarkEnd w:id="25"/>
    </w:p>
    <w:p w14:paraId="60C9BF8B">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26" w:name="_Toc24066"/>
      <w:r>
        <w:rPr>
          <w:rFonts w:hint="eastAsia" w:ascii="宋体" w:hAnsi="宋体" w:eastAsia="宋体" w:cs="宋体"/>
          <w:b w:val="0"/>
          <w:bCs w:val="0"/>
          <w:kern w:val="2"/>
          <w:sz w:val="28"/>
          <w:szCs w:val="28"/>
          <w:lang w:val="en-US" w:eastAsia="zh-CN" w:bidi="ar-SA"/>
        </w:rPr>
        <w:t>1、线上平台稳定运行：2016 年上线监理人员业务培训系统，提供政策解读、技术规范、数字化工具应用等课程，满足从业人员碎片化学习需求。</w:t>
      </w:r>
      <w:bookmarkEnd w:id="26"/>
    </w:p>
    <w:p w14:paraId="4E9DAF92">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27" w:name="_Toc29508"/>
      <w:r>
        <w:rPr>
          <w:rFonts w:hint="eastAsia" w:ascii="宋体" w:hAnsi="宋体" w:eastAsia="宋体" w:cs="宋体"/>
          <w:b w:val="0"/>
          <w:bCs w:val="0"/>
          <w:kern w:val="2"/>
          <w:sz w:val="28"/>
          <w:szCs w:val="28"/>
          <w:lang w:val="en-US" w:eastAsia="zh-CN" w:bidi="ar-SA"/>
        </w:rPr>
        <w:t>2、线下活动精准赋能：每年举办“监理大讲堂 ”“行业专项培训 ”，邀请高校教授、企业骨干、行业专家授课，内容覆盖AI技术应用、智能监理实操等；组织会员单位参加全国工程监理竞赛，在第一、二届赛事中均获优异成绩。</w:t>
      </w:r>
      <w:bookmarkEnd w:id="27"/>
    </w:p>
    <w:p w14:paraId="54F8309F">
      <w:pPr>
        <w:pStyle w:val="5"/>
        <w:spacing w:before="139" w:line="224" w:lineRule="auto"/>
        <w:ind w:firstLine="560" w:firstLineChars="200"/>
        <w:outlineLvl w:val="0"/>
        <w:rPr>
          <w:rFonts w:hint="eastAsia" w:ascii="宋体" w:hAnsi="宋体" w:eastAsia="宋体" w:cs="宋体"/>
          <w:b w:val="0"/>
          <w:bCs w:val="0"/>
          <w:kern w:val="2"/>
          <w:sz w:val="28"/>
          <w:szCs w:val="28"/>
          <w:lang w:val="en-US" w:eastAsia="zh-CN" w:bidi="ar-SA"/>
        </w:rPr>
      </w:pPr>
      <w:bookmarkStart w:id="28" w:name="_Toc29694"/>
      <w:r>
        <w:rPr>
          <w:rFonts w:hint="eastAsia" w:ascii="宋体" w:hAnsi="宋体" w:eastAsia="宋体" w:cs="宋体"/>
          <w:b w:val="0"/>
          <w:bCs w:val="0"/>
          <w:kern w:val="2"/>
          <w:sz w:val="28"/>
          <w:szCs w:val="28"/>
          <w:lang w:val="en-US" w:eastAsia="zh-CN" w:bidi="ar-SA"/>
        </w:rPr>
        <w:t>3、青年人才储备：推动高校与企业合作，设立实习基地，鼓励青年人才参与重点项目（如地铁监理、大型市政工程），缩短职业成长周期；部分企业年轻人才（大学毕业 3-5 年）已能独立负责项目，人才梯队断层问题得到缓解。</w:t>
      </w:r>
      <w:bookmarkEnd w:id="28"/>
    </w:p>
    <w:p w14:paraId="20F39C97">
      <w:pPr>
        <w:pStyle w:val="5"/>
        <w:spacing w:before="139" w:line="224" w:lineRule="auto"/>
        <w:jc w:val="center"/>
        <w:outlineLvl w:val="0"/>
        <w:rPr>
          <w:rFonts w:hint="eastAsia" w:eastAsia="宋体"/>
          <w:b/>
          <w:sz w:val="32"/>
          <w:szCs w:val="16"/>
          <w:lang w:val="en-US" w:eastAsia="zh-CN"/>
        </w:rPr>
      </w:pPr>
      <w:bookmarkStart w:id="29" w:name="_Toc16383"/>
      <w:r>
        <w:rPr>
          <w:rFonts w:hint="eastAsia"/>
          <w:b/>
          <w:sz w:val="32"/>
          <w:szCs w:val="16"/>
          <w:lang w:val="en-US" w:eastAsia="en-US"/>
        </w:rPr>
        <w:t>第</w:t>
      </w:r>
      <w:r>
        <w:rPr>
          <w:rFonts w:hint="eastAsia"/>
          <w:b/>
          <w:sz w:val="32"/>
          <w:szCs w:val="16"/>
          <w:lang w:val="en-US" w:eastAsia="zh-CN"/>
        </w:rPr>
        <w:t>四</w:t>
      </w:r>
      <w:r>
        <w:rPr>
          <w:rFonts w:hint="eastAsia"/>
          <w:b/>
          <w:sz w:val="32"/>
          <w:szCs w:val="16"/>
          <w:lang w:val="en-US" w:eastAsia="en-US"/>
        </w:rPr>
        <w:t>章：</w:t>
      </w:r>
      <w:r>
        <w:rPr>
          <w:rFonts w:hint="eastAsia" w:eastAsia="宋体"/>
          <w:b/>
          <w:sz w:val="32"/>
          <w:szCs w:val="16"/>
          <w:lang w:val="en-US" w:eastAsia="zh-CN"/>
        </w:rPr>
        <w:t>行业政策建议</w:t>
      </w:r>
      <w:bookmarkEnd w:id="29"/>
    </w:p>
    <w:p w14:paraId="686EE84C">
      <w:pPr>
        <w:keepNext w:val="0"/>
        <w:keepLines w:val="0"/>
        <w:pageBreakBefore w:val="0"/>
        <w:widowControl w:val="0"/>
        <w:kinsoku/>
        <w:wordWrap/>
        <w:overflowPunct/>
        <w:topLinePunct w:val="0"/>
        <w:autoSpaceDE/>
        <w:autoSpaceDN/>
        <w:bidi w:val="0"/>
        <w:adjustRightInd/>
        <w:snapToGrid/>
        <w:spacing w:before="0" w:after="0" w:line="560" w:lineRule="exact"/>
        <w:ind w:left="20" w:right="400" w:firstLine="54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工程监理企业做好工程监理工作、履行工程监理职责，是其根本和立足基础。随着建筑工业化、数智化、国际化发展，工程监理企业需要适应新发展形势，转变监理工作方式，创新监理工作手段，做优、做精工程监理。对于有条件的大型工程监理企业，可以拓展经营业务，发展全过程工程咨询等综合性业务，做大、做强工程咨询，发展成为具有国际水平的全过程工程咨询企业。</w:t>
      </w:r>
    </w:p>
    <w:p w14:paraId="15ADE991">
      <w:pPr>
        <w:keepNext w:val="0"/>
        <w:keepLines w:val="0"/>
        <w:pageBreakBefore w:val="0"/>
        <w:widowControl w:val="0"/>
        <w:kinsoku/>
        <w:wordWrap/>
        <w:overflowPunct/>
        <w:topLinePunct w:val="0"/>
        <w:autoSpaceDE/>
        <w:autoSpaceDN/>
        <w:bidi w:val="0"/>
        <w:adjustRightInd/>
        <w:snapToGrid/>
        <w:spacing w:before="0" w:after="0" w:line="560" w:lineRule="exact"/>
        <w:ind w:left="20" w:right="400" w:firstLine="540"/>
        <w:jc w:val="both"/>
        <w:textAlignment w:val="auto"/>
        <w:rPr>
          <w:rFonts w:hint="eastAsia" w:ascii="宋体" w:hAnsi="宋体" w:eastAsia="宋体" w:cs="宋体"/>
          <w:b w:val="0"/>
          <w:bCs w:val="0"/>
          <w:kern w:val="2"/>
          <w:sz w:val="28"/>
          <w:szCs w:val="28"/>
          <w:lang w:val="en-US" w:eastAsia="zh-CN" w:bidi="ar-SA"/>
        </w:rPr>
      </w:pPr>
    </w:p>
    <w:p w14:paraId="2FC74D2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宋体" w:hAnsi="宋体" w:eastAsia="宋体" w:cs="宋体"/>
          <w:b w:val="0"/>
          <w:bCs w:val="0"/>
          <w:kern w:val="2"/>
          <w:sz w:val="28"/>
          <w:szCs w:val="28"/>
          <w:lang w:val="en-US" w:eastAsia="zh-CN" w:bidi="ar-SA"/>
        </w:rPr>
      </w:pPr>
      <w:bookmarkStart w:id="30" w:name="_Toc29623"/>
      <w:bookmarkStart w:id="31" w:name="_Toc607"/>
      <w:r>
        <w:rPr>
          <w:rFonts w:hint="eastAsia" w:ascii="宋体" w:hAnsi="宋体" w:eastAsia="宋体" w:cs="宋体"/>
          <w:b w:val="0"/>
          <w:bCs w:val="0"/>
          <w:kern w:val="2"/>
          <w:sz w:val="28"/>
          <w:szCs w:val="28"/>
          <w:lang w:val="en-US" w:eastAsia="zh-CN" w:bidi="ar-SA"/>
        </w:rPr>
        <w:t>（一）提高工作人员的管理能力</w:t>
      </w:r>
      <w:bookmarkEnd w:id="30"/>
      <w:bookmarkEnd w:id="31"/>
    </w:p>
    <w:p w14:paraId="0F01AB1D">
      <w:pPr>
        <w:pStyle w:val="1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宋体" w:hAnsi="宋体" w:eastAsia="宋体" w:cs="宋体"/>
          <w:b w:val="0"/>
          <w:bCs w:val="0"/>
          <w:kern w:val="2"/>
          <w:sz w:val="28"/>
          <w:szCs w:val="28"/>
          <w:lang w:val="en-US" w:eastAsia="zh-CN" w:bidi="ar-SA"/>
        </w:rPr>
      </w:pPr>
      <w:bookmarkStart w:id="32" w:name="_Toc21832"/>
      <w:r>
        <w:rPr>
          <w:rFonts w:hint="eastAsia" w:ascii="宋体" w:hAnsi="宋体" w:eastAsia="宋体" w:cs="宋体"/>
          <w:b w:val="0"/>
          <w:bCs w:val="0"/>
          <w:kern w:val="2"/>
          <w:sz w:val="28"/>
          <w:szCs w:val="28"/>
          <w:lang w:val="en-US" w:eastAsia="zh-CN" w:bidi="ar-SA"/>
        </w:rPr>
        <w:t>通过专业技能、职业素养等方面的培训，可令监理人员充分意识到自身工作的重要性，并及时认清自身在工作过程中存在的不足之处，只有通过思想意识的转变才能使得工作性质达到本质上的提升，进而完善监理人员的安全意识。在对监理人员进行技能培训时，主要是以施工流程、建筑设备、安全知识等方面为主，以此来提升建构完整的项目监管体系，并为监理人员建立相应的监管基准。</w:t>
      </w:r>
      <w:bookmarkEnd w:id="32"/>
    </w:p>
    <w:p w14:paraId="0E45B13F">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宋体" w:hAnsi="宋体" w:eastAsia="宋体" w:cs="宋体"/>
          <w:b w:val="0"/>
          <w:bCs w:val="0"/>
          <w:kern w:val="2"/>
          <w:sz w:val="28"/>
          <w:szCs w:val="28"/>
          <w:lang w:val="en-US" w:eastAsia="zh-CN" w:bidi="ar-SA"/>
        </w:rPr>
      </w:pPr>
      <w:bookmarkStart w:id="33" w:name="_Toc10987"/>
      <w:bookmarkStart w:id="34" w:name="_Toc9948"/>
      <w:r>
        <w:rPr>
          <w:rFonts w:hint="eastAsia" w:ascii="宋体" w:hAnsi="宋体" w:eastAsia="宋体" w:cs="宋体"/>
          <w:b w:val="0"/>
          <w:bCs w:val="0"/>
          <w:kern w:val="2"/>
          <w:sz w:val="28"/>
          <w:szCs w:val="28"/>
          <w:lang w:val="en-US" w:eastAsia="zh-CN" w:bidi="ar-SA"/>
        </w:rPr>
        <w:t>（二）强化安全监理力度</w:t>
      </w:r>
      <w:bookmarkEnd w:id="33"/>
      <w:bookmarkEnd w:id="34"/>
    </w:p>
    <w:p w14:paraId="2DB7ABA8">
      <w:pPr>
        <w:pStyle w:val="1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在对建筑材料进行监控时，监理人员应对材料的采办、运输、使用等进行严格监督，并对材料具体应用情况进行全过程监督，以此来为建筑工程质量提供基础保障。同时监管部门应正确划分职责，确保每一项目工程都具备专业的监理人员，且应加强监理人员的工作意识，对每一建筑环节的质量与建筑特性进行严格管控，当发现问题时，应及时进行处理，以避免问题扩大化。</w:t>
      </w:r>
    </w:p>
    <w:p w14:paraId="1577519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宋体" w:hAnsi="宋体" w:eastAsia="宋体" w:cs="宋体"/>
          <w:b w:val="0"/>
          <w:bCs w:val="0"/>
          <w:kern w:val="2"/>
          <w:sz w:val="28"/>
          <w:szCs w:val="28"/>
          <w:lang w:val="en-US" w:eastAsia="zh-CN" w:bidi="ar-SA"/>
        </w:rPr>
      </w:pPr>
      <w:bookmarkStart w:id="35" w:name="_Toc18917"/>
      <w:bookmarkStart w:id="36" w:name="_Toc18696"/>
      <w:r>
        <w:rPr>
          <w:rFonts w:hint="eastAsia" w:ascii="宋体" w:hAnsi="宋体" w:eastAsia="宋体" w:cs="宋体"/>
          <w:b w:val="0"/>
          <w:bCs w:val="0"/>
          <w:kern w:val="2"/>
          <w:sz w:val="28"/>
          <w:szCs w:val="28"/>
          <w:lang w:val="en-US" w:eastAsia="zh-CN" w:bidi="ar-SA"/>
        </w:rPr>
        <w:t>（三）加强技术与材料的管理</w:t>
      </w:r>
      <w:bookmarkEnd w:id="35"/>
      <w:bookmarkEnd w:id="36"/>
    </w:p>
    <w:p w14:paraId="6A2D2C35">
      <w:pPr>
        <w:pStyle w:val="1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在对建筑材料进行检测时，应从外观、特性、数据参数等多角度分析，保证材料的误差在可控范围内。此外，监理工作人员应掌握材料在建筑环节的应用范围，并加强材料的监管力度，进而来提升材料的利用率，以此来降低工程成本，提升整体工作效率。</w:t>
      </w:r>
    </w:p>
    <w:p w14:paraId="4225F89C">
      <w:pPr>
        <w:pStyle w:val="1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kern w:val="2"/>
          <w:sz w:val="28"/>
          <w:szCs w:val="28"/>
          <w:lang w:val="en-US" w:eastAsia="zh-CN" w:bidi="ar-SA"/>
        </w:rPr>
      </w:pPr>
    </w:p>
    <w:p w14:paraId="586F13D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宋体" w:hAnsi="宋体" w:eastAsia="宋体" w:cs="宋体"/>
          <w:b w:val="0"/>
          <w:bCs w:val="0"/>
          <w:kern w:val="2"/>
          <w:sz w:val="28"/>
          <w:szCs w:val="28"/>
          <w:lang w:val="en-US" w:eastAsia="zh-CN" w:bidi="ar-SA"/>
        </w:rPr>
      </w:pPr>
      <w:bookmarkStart w:id="37" w:name="_Toc17682"/>
      <w:bookmarkStart w:id="38" w:name="_Toc23025"/>
      <w:bookmarkStart w:id="39" w:name="_Toc30056"/>
      <w:r>
        <w:rPr>
          <w:rFonts w:hint="eastAsia" w:ascii="宋体" w:hAnsi="宋体" w:eastAsia="宋体" w:cs="宋体"/>
          <w:b w:val="0"/>
          <w:bCs w:val="0"/>
          <w:kern w:val="2"/>
          <w:sz w:val="28"/>
          <w:szCs w:val="28"/>
          <w:lang w:val="en-US" w:eastAsia="zh-CN" w:bidi="ar-SA"/>
        </w:rPr>
        <w:t>（四）大力引育工程监理人才</w:t>
      </w:r>
      <w:bookmarkEnd w:id="37"/>
      <w:bookmarkEnd w:id="38"/>
      <w:bookmarkEnd w:id="39"/>
    </w:p>
    <w:p w14:paraId="7C3BE936">
      <w:pPr>
        <w:keepNext w:val="0"/>
        <w:keepLines w:val="0"/>
        <w:pageBreakBefore w:val="0"/>
        <w:widowControl w:val="0"/>
        <w:kinsoku/>
        <w:wordWrap/>
        <w:overflowPunct/>
        <w:topLinePunct w:val="0"/>
        <w:autoSpaceDE/>
        <w:autoSpaceDN/>
        <w:bidi w:val="0"/>
        <w:adjustRightInd/>
        <w:snapToGrid/>
        <w:spacing w:before="0" w:after="0" w:line="560" w:lineRule="exact"/>
        <w:ind w:left="40" w:right="520" w:firstLine="54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人才是工程监理企业的第一资源，在现代企业和经济发展形势下，工程监理企业应充分认识人才队伍建设的重要性。工程监理企业要制定和实施与企业发展战略相匹配的人力资源发展战略，不断完善企业内部人才梯度建设。要重视人才选拔，从企业内部和市场中发现人才；要加强专业人才培养，理论培训与实践培养相结合，不断提高人员素质，为提高企业核心竞争力，实现企业的愿景和战略目标提供坚实的人才保障。</w:t>
      </w:r>
    </w:p>
    <w:p w14:paraId="5AE7440A">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1"/>
        <w:rPr>
          <w:rFonts w:hint="eastAsia" w:ascii="宋体" w:hAnsi="宋体" w:eastAsia="宋体" w:cs="宋体"/>
          <w:b w:val="0"/>
          <w:bCs w:val="0"/>
          <w:kern w:val="2"/>
          <w:sz w:val="28"/>
          <w:szCs w:val="28"/>
          <w:lang w:val="en-US" w:eastAsia="zh-CN" w:bidi="ar-SA"/>
        </w:rPr>
      </w:pPr>
      <w:bookmarkStart w:id="40" w:name="_Toc24889"/>
      <w:bookmarkStart w:id="41" w:name="_Toc554"/>
      <w:bookmarkStart w:id="42" w:name="_Toc25601"/>
      <w:r>
        <w:rPr>
          <w:rFonts w:hint="eastAsia" w:ascii="宋体" w:hAnsi="宋体" w:eastAsia="宋体" w:cs="宋体"/>
          <w:b w:val="0"/>
          <w:bCs w:val="0"/>
          <w:kern w:val="2"/>
          <w:sz w:val="28"/>
          <w:szCs w:val="28"/>
          <w:lang w:val="en-US" w:eastAsia="zh-CN" w:bidi="ar-SA"/>
        </w:rPr>
        <w:t>（五）扎实推进工程监理标准化</w:t>
      </w:r>
      <w:bookmarkEnd w:id="40"/>
      <w:bookmarkEnd w:id="41"/>
      <w:bookmarkEnd w:id="42"/>
    </w:p>
    <w:p w14:paraId="1B500CE7">
      <w:pPr>
        <w:keepNext w:val="0"/>
        <w:keepLines w:val="0"/>
        <w:pageBreakBefore w:val="0"/>
        <w:widowControl w:val="0"/>
        <w:kinsoku/>
        <w:wordWrap/>
        <w:overflowPunct/>
        <w:topLinePunct w:val="0"/>
        <w:autoSpaceDE/>
        <w:autoSpaceDN/>
        <w:bidi w:val="0"/>
        <w:adjustRightInd/>
        <w:snapToGrid/>
        <w:spacing w:before="23" w:after="0" w:line="560" w:lineRule="exact"/>
        <w:ind w:left="60" w:right="740" w:firstLine="48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工程监理企业应依照法律、行政法规及工程建设标准、设计文件和合同，在建设单位委托授权下切实履行监理职责。为保证工程监理服务质量，应扎实推进工程监理标准化。工程监理企业推进工程监理标准化，并非只是通过质量管理体系（ISO 9000）、环境管理体系（ISO 14000）和职业健康安全管理体系（ISO 45000）认证，还要根据风险管理体系（ISO 31000）标准建立企业自身的工程监理风险管理体系。要结合企业自身经营业务，切实贯彻执行“说出要做的、按说出的去做、记录所做的”管理体系标准要求，形成企业自身工作指南、操作手册、作业指导书等专业工作标准，指导和规范企业所派驻施工现场各项目监理机构的工作。</w:t>
      </w:r>
    </w:p>
    <w:p w14:paraId="229D4EDF">
      <w:pPr>
        <w:keepNext w:val="0"/>
        <w:keepLines w:val="0"/>
        <w:pageBreakBefore w:val="0"/>
        <w:widowControl w:val="0"/>
        <w:kinsoku/>
        <w:wordWrap/>
        <w:overflowPunct/>
        <w:topLinePunct w:val="0"/>
        <w:autoSpaceDE/>
        <w:autoSpaceDN/>
        <w:bidi w:val="0"/>
        <w:adjustRightInd/>
        <w:snapToGrid/>
        <w:spacing w:before="0" w:after="0" w:line="560" w:lineRule="exact"/>
        <w:ind w:left="20" w:right="54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工程监理企业推进标准化，还要在工程监理国家标准、地方标准、行业标准及团体标准的基础上，制定要求更加严格的企业标准。而且，还要结合建筑工业化、工程总承包、PPP实施模式等，编制符合工程监理工作实际需求的企业标准。这不仅有利于工程监理人员履职尽责，为建设单位提供优质服务；而且有利于树立工程监理企业品牌形象，提升核心竞争力。同时，也有利于净化工程监理市场，规范工程监理行为，促进工程监理行业持续健康发展。为此，工程监理企业应在全面梳理既有规章制度、标准文件的基础上，做好企业内部标准化建设顶层设计，系统全面并富有前瞻性地建立和完善企业层面的工程监理标准体系。</w:t>
      </w:r>
    </w:p>
    <w:p w14:paraId="6B656B2B">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1"/>
        <w:rPr>
          <w:rFonts w:hint="eastAsia" w:ascii="宋体" w:hAnsi="宋体" w:eastAsia="宋体" w:cs="宋体"/>
          <w:b w:val="0"/>
          <w:bCs w:val="0"/>
          <w:kern w:val="2"/>
          <w:sz w:val="28"/>
          <w:szCs w:val="28"/>
          <w:lang w:val="en-US" w:eastAsia="zh-CN" w:bidi="ar-SA"/>
        </w:rPr>
      </w:pPr>
      <w:bookmarkStart w:id="43" w:name="_Toc22592"/>
      <w:bookmarkStart w:id="44" w:name="_Toc25241"/>
      <w:bookmarkStart w:id="45" w:name="_Toc3628"/>
      <w:r>
        <w:rPr>
          <w:rFonts w:hint="eastAsia" w:ascii="宋体" w:hAnsi="宋体" w:eastAsia="宋体" w:cs="宋体"/>
          <w:b w:val="0"/>
          <w:bCs w:val="0"/>
          <w:kern w:val="2"/>
          <w:sz w:val="28"/>
          <w:szCs w:val="28"/>
          <w:lang w:val="en-US" w:eastAsia="zh-CN" w:bidi="ar-SA"/>
        </w:rPr>
        <w:t>（六）积极拓展企业经营业务</w:t>
      </w:r>
      <w:bookmarkEnd w:id="43"/>
      <w:bookmarkEnd w:id="44"/>
      <w:bookmarkEnd w:id="45"/>
    </w:p>
    <w:p w14:paraId="273FD0D0">
      <w:pPr>
        <w:keepNext w:val="0"/>
        <w:keepLines w:val="0"/>
        <w:pageBreakBefore w:val="0"/>
        <w:widowControl w:val="0"/>
        <w:kinsoku/>
        <w:wordWrap/>
        <w:overflowPunct/>
        <w:topLinePunct w:val="0"/>
        <w:autoSpaceDE/>
        <w:autoSpaceDN/>
        <w:bidi w:val="0"/>
        <w:adjustRightInd/>
        <w:snapToGrid/>
        <w:spacing w:before="0" w:after="0" w:line="560" w:lineRule="exact"/>
        <w:ind w:right="60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工程监理企业的主要经营业务是提供施工阶段监理服务，这是其立足和发展之根本。因此，大部分工程监理企业仍将主要从事施工现场监理服务，并逐步发展成为行业或专业领域的“专、精、尖、特”监理企业。但部分工程监理企业将会通过组织架构调整、技术升级创新、人才素养提升等方式，发展成为能提供跨阶段组合咨询服务或同一阶段不同类型咨询组合服务的多元化咨询服务企业，少数大型综合性工程监理企业将会通过兼并重组等方式发展成为全过程工程咨询服务企业。此外，还有一些工程监理企业将会通过“原服务＋”方式拓展经营业务，形成多元组合服务特色和优势，在服务主体多元化、服务模式多样化、服务内容组合化等方面实现转型升级。</w:t>
      </w:r>
    </w:p>
    <w:p w14:paraId="7D1FCF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kern w:val="2"/>
          <w:sz w:val="28"/>
          <w:szCs w:val="28"/>
          <w:lang w:val="en-US" w:eastAsia="zh-CN" w:bidi="ar-SA"/>
        </w:rPr>
      </w:pPr>
      <w:bookmarkStart w:id="46" w:name="_Toc14378"/>
      <w:bookmarkStart w:id="47" w:name="_Toc30480"/>
      <w:r>
        <w:rPr>
          <w:rFonts w:hint="eastAsia" w:ascii="宋体" w:hAnsi="宋体" w:eastAsia="宋体" w:cs="宋体"/>
          <w:b w:val="0"/>
          <w:bCs w:val="0"/>
          <w:kern w:val="2"/>
          <w:sz w:val="28"/>
          <w:szCs w:val="28"/>
          <w:lang w:val="en-US" w:eastAsia="zh-CN" w:bidi="ar-SA"/>
        </w:rPr>
        <w:t>（七）尽快适应国际化发展</w:t>
      </w:r>
      <w:bookmarkEnd w:id="46"/>
      <w:bookmarkEnd w:id="47"/>
    </w:p>
    <w:p w14:paraId="748BBF1C">
      <w:pPr>
        <w:keepNext w:val="0"/>
        <w:keepLines w:val="0"/>
        <w:pageBreakBefore w:val="0"/>
        <w:widowControl w:val="0"/>
        <w:kinsoku/>
        <w:wordWrap/>
        <w:overflowPunct/>
        <w:topLinePunct w:val="0"/>
        <w:autoSpaceDE/>
        <w:autoSpaceDN/>
        <w:bidi w:val="0"/>
        <w:adjustRightInd/>
        <w:snapToGrid/>
        <w:spacing w:before="0" w:after="0" w:line="560" w:lineRule="exact"/>
        <w:ind w:left="20" w:right="34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我国已成为世界第二大经济体，经济发展正由过去的吸引外资拉动内需模式逐渐转化为外向投资扩大出口的发展模式。尤其是“一带一路”建设，其核心内容就是要促进区域基础设施建设和互联互通，在道路、口岸、航空等基础设施建设方面为工程监理企业创造了大量参与机会。工程监理企业应尽快适应国际化发展，抓住“一带一路”建设机遇，敢于“走出去”主动参与国际市场竞争，提升企业国际竞争力和行业国际影响力。在参与国际竞争起步阶段，可通过与有国际业务的国内公司合作、与国际化工程（咨询）企业合作等方式，积累经验、缩短差距，尽快熟悉国外市场环境和业主需求，逐步提升自身国际化咨询服务能力。</w:t>
      </w:r>
    </w:p>
    <w:p w14:paraId="77CBDBBD">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540" w:rightChars="0"/>
        <w:jc w:val="both"/>
        <w:textAlignment w:val="auto"/>
        <w:outlineLvl w:val="1"/>
        <w:rPr>
          <w:rFonts w:hint="eastAsia" w:ascii="宋体" w:hAnsi="宋体" w:eastAsia="宋体" w:cs="宋体"/>
          <w:b w:val="0"/>
          <w:bCs w:val="0"/>
          <w:kern w:val="2"/>
          <w:sz w:val="28"/>
          <w:szCs w:val="28"/>
          <w:lang w:val="en-US" w:eastAsia="zh-CN" w:bidi="ar-SA"/>
        </w:rPr>
      </w:pPr>
      <w:bookmarkStart w:id="48" w:name="_Toc3498"/>
      <w:bookmarkStart w:id="49" w:name="_Toc3145"/>
      <w:bookmarkStart w:id="50" w:name="_Toc17357"/>
      <w:r>
        <w:rPr>
          <w:rFonts w:hint="eastAsia" w:ascii="宋体" w:hAnsi="宋体" w:eastAsia="宋体" w:cs="宋体"/>
          <w:b w:val="0"/>
          <w:bCs w:val="0"/>
          <w:kern w:val="2"/>
          <w:sz w:val="28"/>
          <w:szCs w:val="28"/>
          <w:lang w:val="en-US" w:eastAsia="zh-CN" w:bidi="ar-SA"/>
        </w:rPr>
        <w:t>（八）着力打造企业核心品牌</w:t>
      </w:r>
      <w:bookmarkEnd w:id="48"/>
      <w:bookmarkEnd w:id="49"/>
      <w:bookmarkEnd w:id="50"/>
    </w:p>
    <w:p w14:paraId="3315A40A">
      <w:pPr>
        <w:keepNext w:val="0"/>
        <w:keepLines w:val="0"/>
        <w:pageBreakBefore w:val="0"/>
        <w:widowControl w:val="0"/>
        <w:kinsoku/>
        <w:wordWrap/>
        <w:overflowPunct/>
        <w:topLinePunct w:val="0"/>
        <w:autoSpaceDE/>
        <w:autoSpaceDN/>
        <w:bidi w:val="0"/>
        <w:adjustRightInd/>
        <w:snapToGrid/>
        <w:spacing w:before="0" w:after="0" w:line="560" w:lineRule="exact"/>
        <w:ind w:right="28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工程监理企业的社会影响力主要包括企业资质等级、企业声誉和品牌、企业国际化程度、市场占有率、全员劳动生产率。在现今市场经济发展日趋深化，企业竞争力日益激烈，工程监理市场问题严重，最主要的表现就是工程监理企业竞争力不强。而提高企业竞争力的一个主要方面便是企业实施品牌战略，提高企业的知名度。品牌战略的实施有利于工程监理企业树立良好的形象，提高员工向心力；提高经济效益，保证企业不断壮大和持续发展；提升企业的产品市场竞争力，提高企业知名度；促进企业市场经营拓展，监督和保证服务质量。</w:t>
      </w:r>
    </w:p>
    <w:p w14:paraId="18AFB14B">
      <w:pPr>
        <w:pStyle w:val="5"/>
        <w:spacing w:before="139" w:line="224" w:lineRule="auto"/>
        <w:jc w:val="both"/>
        <w:outlineLvl w:val="0"/>
        <w:rPr>
          <w:rFonts w:hint="default" w:ascii="宋体" w:hAnsi="宋体" w:eastAsia="宋体" w:cs="宋体"/>
          <w:b w:val="0"/>
          <w:bCs w:val="0"/>
          <w:kern w:val="2"/>
          <w:sz w:val="28"/>
          <w:szCs w:val="28"/>
          <w:lang w:val="en-US" w:eastAsia="zh-CN" w:bidi="ar-SA"/>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81B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FDF14">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AFDF14">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30972"/>
    <w:rsid w:val="05206F5F"/>
    <w:rsid w:val="08083468"/>
    <w:rsid w:val="0E030972"/>
    <w:rsid w:val="115A7206"/>
    <w:rsid w:val="22FE266D"/>
    <w:rsid w:val="3A6D3E35"/>
    <w:rsid w:val="7C61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100" w:line="360" w:lineRule="auto"/>
      <w:jc w:val="both"/>
    </w:pPr>
    <w:rPr>
      <w:rFonts w:cs="宋体" w:asciiTheme="minorHAnsi" w:hAnsiTheme="minorHAnsi" w:eastAsiaTheme="minorEastAsia"/>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customStyle="1" w:styleId="12">
    <w:name w:val="图表"/>
    <w:basedOn w:val="1"/>
    <w:autoRedefine/>
    <w:qFormat/>
    <w:uiPriority w:val="0"/>
    <w:pPr>
      <w:jc w:val="center"/>
    </w:pPr>
    <w:rPr>
      <w:rFonts w:eastAsia="黑体"/>
      <w:b/>
    </w:rPr>
  </w:style>
  <w:style w:type="paragraph" w:customStyle="1" w:styleId="13">
    <w:name w:val="图片"/>
    <w:basedOn w:val="12"/>
    <w:autoRedefine/>
    <w:qFormat/>
    <w:uiPriority w:val="0"/>
    <w:pPr>
      <w:spacing w:beforeLines="0" w:line="240" w:lineRule="auto"/>
    </w:pPr>
    <w:rPr>
      <w:rFonts w:eastAsiaTheme="minorEastAsia"/>
    </w:rPr>
  </w:style>
  <w:style w:type="paragraph" w:customStyle="1" w:styleId="14">
    <w:name w:val="数据来源"/>
    <w:basedOn w:val="1"/>
    <w:autoRedefine/>
    <w:qFormat/>
    <w:uiPriority w:val="0"/>
    <w:pPr>
      <w:spacing w:beforeLines="0"/>
      <w:jc w:val="center"/>
    </w:pPr>
    <w:rPr>
      <w:rFonts w:eastAsia="宋体"/>
    </w:rPr>
  </w:style>
  <w:style w:type="paragraph" w:customStyle="1" w:styleId="15">
    <w:name w:val="正文文字缩进"/>
    <w:basedOn w:val="1"/>
    <w:autoRedefine/>
    <w:qFormat/>
    <w:uiPriority w:val="0"/>
    <w:pPr>
      <w:ind w:firstLine="200" w:firstLineChars="200"/>
    </w:pPr>
    <w:rPr>
      <w:rFonts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7799</Words>
  <Characters>8023</Characters>
  <Lines>0</Lines>
  <Paragraphs>0</Paragraphs>
  <TotalTime>3</TotalTime>
  <ScaleCrop>false</ScaleCrop>
  <LinksUpToDate>false</LinksUpToDate>
  <CharactersWithSpaces>8146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2026-01-16T00:46:00Z</dcterms:created>
  <dc:creator>齐玉鹏℡</dc:creator>
  <cp:lastModifiedBy>齐玉鹏℡</cp:lastModifiedBy>
  <dcterms:modified xsi:type="dcterms:W3CDTF">2026-01-19T05:38:31Z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2A13EF72160042828D33B4D5F58A640C_11</vt:lpwstr>
  </property>
  <property fmtid="{D5CDD505-2E9C-101B-9397-08002B2CF9AE}" pid="4" name="KSOTemplateDocerSaveRecord">
    <vt:lpwstr>eyJoZGlkIjoiYWNhOWNiM2Y1MTRhYzViZGVjYTc1MjU4NGNlOGY5OWUiLCJ1c2VySWQiOiI3MjgwMTk0ODIifQ==</vt:lpwstr>
  </property>
</Properties>
</file>